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568" w:type="dxa"/>
        <w:tblLayout w:type="fixed"/>
        <w:tblCellMar>
          <w:left w:w="70" w:type="dxa"/>
          <w:right w:w="70" w:type="dxa"/>
        </w:tblCellMar>
        <w:tblLook w:val="0000"/>
      </w:tblPr>
      <w:tblGrid>
        <w:gridCol w:w="5740"/>
        <w:gridCol w:w="1276"/>
        <w:gridCol w:w="1418"/>
        <w:gridCol w:w="1134"/>
      </w:tblGrid>
      <w:tr w14:paraId="307177D0" w14:textId="77777777" w:rsidTr="00A83EEE">
        <w:tblPrEx>
          <w:tblW w:w="9568" w:type="dxa"/>
          <w:tblLayout w:type="fixed"/>
          <w:tblCellMar>
            <w:left w:w="70" w:type="dxa"/>
            <w:right w:w="70" w:type="dxa"/>
          </w:tblCellMar>
          <w:tblLook w:val="0000"/>
        </w:tblPrEx>
        <w:trPr>
          <w:cantSplit/>
          <w:trHeight w:val="276"/>
        </w:trPr>
        <w:tc>
          <w:tcPr>
            <w:tcW w:w="5740" w:type="dxa"/>
            <w:vMerge w:val="restart"/>
          </w:tcPr>
          <w:p w:rsidR="00CC295F" w:rsidP="003157F4" w14:paraId="307177CC" w14:textId="77777777">
            <w:pPr>
              <w:pStyle w:val="Header"/>
              <w:tabs>
                <w:tab w:val="num" w:pos="1080"/>
              </w:tabs>
              <w:spacing w:before="60" w:after="60"/>
              <w:rPr>
                <w:sz w:val="32"/>
              </w:rPr>
            </w:pPr>
            <w:bookmarkStart w:id="0" w:name="tempHer"/>
            <w:bookmarkEnd w:id="0"/>
            <w:r>
              <w:rPr>
                <w:noProof/>
              </w:rPr>
              <w:drawing>
                <wp:inline distT="0" distB="0" distL="0" distR="0">
                  <wp:extent cx="1544955" cy="473075"/>
                  <wp:effectExtent l="0" t="0" r="0" b="0"/>
                  <wp:docPr id="1" name="Bilde 1" descr="V:\NF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NFK_Logo.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4955" cy="473075"/>
                          </a:xfrm>
                          <a:prstGeom prst="rect">
                            <a:avLst/>
                          </a:prstGeom>
                          <a:noFill/>
                          <a:ln>
                            <a:noFill/>
                          </a:ln>
                        </pic:spPr>
                      </pic:pic>
                    </a:graphicData>
                  </a:graphic>
                </wp:inline>
              </w:drawing>
            </w:r>
          </w:p>
          <w:p w:rsidR="00CC295F" w:rsidP="00CC295F" w14:paraId="307177CD" w14:textId="77777777">
            <w:pPr>
              <w:pStyle w:val="Header"/>
              <w:tabs>
                <w:tab w:val="num" w:pos="1080"/>
              </w:tabs>
              <w:spacing w:before="40"/>
              <w:ind w:left="57" w:right="57"/>
              <w:rPr>
                <w:b/>
                <w:bCs/>
              </w:rPr>
            </w:pPr>
            <w:r w:rsidRPr="00CC295F">
              <w:rPr>
                <w:rFonts w:ascii="Verdana" w:hAnsi="Verdana"/>
                <w:sz w:val="20"/>
              </w:rPr>
              <w:fldChar w:fldCharType="begin" w:fldLock="1"/>
            </w:r>
            <w:r w:rsidRPr="00CC295F">
              <w:rPr>
                <w:rFonts w:ascii="Verdana" w:hAnsi="Verdana"/>
                <w:sz w:val="20"/>
              </w:rPr>
              <w:instrText xml:space="preserve"> DOCPROPERTY EK_S00MT2|§ </w:instrText>
            </w:r>
            <w:r w:rsidRPr="00CC295F">
              <w:rPr>
                <w:rFonts w:ascii="Verdana" w:hAnsi="Verdana"/>
                <w:sz w:val="20"/>
              </w:rPr>
              <w:fldChar w:fldCharType="separate"/>
            </w:r>
            <w:r w:rsidRPr="00CC295F">
              <w:rPr>
                <w:rFonts w:ascii="Verdana" w:hAnsi="Verdana"/>
                <w:sz w:val="20"/>
              </w:rPr>
              <w:t>Ansvar og organisasjon</w:t>
            </w:r>
            <w:r w:rsidRPr="00CC295F">
              <w:rPr>
                <w:rFonts w:ascii="Verdana" w:hAnsi="Verdana"/>
                <w:sz w:val="20"/>
              </w:rPr>
              <w:fldChar w:fldCharType="end"/>
            </w:r>
          </w:p>
        </w:tc>
        <w:tc>
          <w:tcPr>
            <w:tcW w:w="1276" w:type="dxa"/>
            <w:vAlign w:val="center"/>
          </w:tcPr>
          <w:p w:rsidR="00CC295F" w:rsidRPr="00221F30" w14:paraId="307177CE" w14:textId="77777777">
            <w:pPr>
              <w:pStyle w:val="Footer"/>
              <w:rPr>
                <w:rFonts w:ascii="Arial" w:hAnsi="Arial" w:cs="Arial"/>
                <w:b/>
                <w:bCs/>
                <w:color w:val="000080"/>
                <w:sz w:val="16"/>
              </w:rPr>
            </w:pPr>
            <w:r w:rsidRPr="00221F30">
              <w:rPr>
                <w:rFonts w:ascii="Arial" w:hAnsi="Arial" w:cs="Arial"/>
                <w:b/>
                <w:bCs/>
                <w:sz w:val="16"/>
              </w:rPr>
              <w:t xml:space="preserve">ID  </w:t>
            </w:r>
          </w:p>
        </w:tc>
        <w:tc>
          <w:tcPr>
            <w:tcW w:w="2552" w:type="dxa"/>
            <w:gridSpan w:val="2"/>
            <w:vAlign w:val="center"/>
          </w:tcPr>
          <w:p w:rsidR="00CC295F" w:rsidRPr="00221F30" w14:paraId="307177CF" w14:textId="77777777">
            <w:pPr>
              <w:pStyle w:val="Footer"/>
              <w:rPr>
                <w:rFonts w:ascii="Arial" w:hAnsi="Arial" w:cs="Arial"/>
                <w:b/>
                <w:bCs/>
                <w:color w:val="000080"/>
                <w:sz w:val="16"/>
              </w:rPr>
            </w:pPr>
            <w:r w:rsidRPr="00221F30">
              <w:rPr>
                <w:rFonts w:ascii="Arial" w:hAnsi="Arial" w:cs="Arial"/>
                <w:b/>
                <w:bCs/>
                <w:color w:val="0082A3"/>
                <w:sz w:val="16"/>
              </w:rPr>
              <w:fldChar w:fldCharType="begin" w:fldLock="1"/>
            </w:r>
            <w:r w:rsidRPr="00221F30">
              <w:rPr>
                <w:rFonts w:ascii="Arial" w:hAnsi="Arial" w:cs="Arial"/>
                <w:b/>
                <w:bCs/>
                <w:color w:val="0082A3"/>
                <w:sz w:val="16"/>
              </w:rPr>
              <w:instrText>DOCPROPERTY EK_DokumentID</w:instrText>
            </w:r>
            <w:r w:rsidRPr="00221F30">
              <w:rPr>
                <w:rFonts w:ascii="Arial" w:hAnsi="Arial" w:cs="Arial"/>
                <w:b/>
                <w:bCs/>
                <w:color w:val="0082A3"/>
                <w:sz w:val="16"/>
              </w:rPr>
              <w:fldChar w:fldCharType="separate"/>
            </w:r>
            <w:r w:rsidRPr="00221F30">
              <w:rPr>
                <w:rFonts w:ascii="Arial" w:hAnsi="Arial" w:cs="Arial"/>
                <w:b/>
                <w:bCs/>
                <w:color w:val="0082A3"/>
                <w:sz w:val="16"/>
              </w:rPr>
              <w:t>D16884</w:t>
            </w:r>
            <w:r w:rsidRPr="00221F30">
              <w:rPr>
                <w:rFonts w:ascii="Arial" w:hAnsi="Arial" w:cs="Arial"/>
                <w:b/>
                <w:bCs/>
                <w:color w:val="0082A3"/>
                <w:sz w:val="16"/>
              </w:rPr>
              <w:fldChar w:fldCharType="end"/>
            </w:r>
          </w:p>
        </w:tc>
      </w:tr>
      <w:tr w14:paraId="307177D4" w14:textId="77777777" w:rsidTr="00A83EEE">
        <w:tblPrEx>
          <w:tblW w:w="9568" w:type="dxa"/>
          <w:tblLayout w:type="fixed"/>
          <w:tblCellMar>
            <w:left w:w="70" w:type="dxa"/>
            <w:right w:w="70" w:type="dxa"/>
          </w:tblCellMar>
          <w:tblLook w:val="0000"/>
        </w:tblPrEx>
        <w:trPr>
          <w:cantSplit/>
          <w:trHeight w:val="151"/>
        </w:trPr>
        <w:tc>
          <w:tcPr>
            <w:tcW w:w="5740" w:type="dxa"/>
            <w:vMerge/>
          </w:tcPr>
          <w:p w:rsidR="00CC295F" w14:paraId="307177D1" w14:textId="77777777">
            <w:pPr>
              <w:pStyle w:val="Header"/>
              <w:tabs>
                <w:tab w:val="num" w:pos="1080"/>
              </w:tabs>
              <w:ind w:left="284" w:right="284"/>
              <w:jc w:val="center"/>
              <w:rPr>
                <w:b/>
                <w:bCs/>
                <w:color w:val="0099CC"/>
                <w:sz w:val="32"/>
              </w:rPr>
            </w:pPr>
          </w:p>
        </w:tc>
        <w:tc>
          <w:tcPr>
            <w:tcW w:w="1276" w:type="dxa"/>
          </w:tcPr>
          <w:p w:rsidR="00CC295F" w:rsidRPr="00221F30" w14:paraId="307177D2" w14:textId="77777777">
            <w:pPr>
              <w:pStyle w:val="Footer"/>
              <w:rPr>
                <w:rFonts w:ascii="Arial" w:hAnsi="Arial" w:cs="Arial"/>
                <w:sz w:val="16"/>
              </w:rPr>
            </w:pPr>
            <w:r w:rsidRPr="00221F30">
              <w:rPr>
                <w:rFonts w:ascii="Arial" w:hAnsi="Arial" w:cs="Arial"/>
                <w:sz w:val="16"/>
              </w:rPr>
              <w:t xml:space="preserve">Versjon </w:t>
            </w:r>
          </w:p>
        </w:tc>
        <w:tc>
          <w:tcPr>
            <w:tcW w:w="2552" w:type="dxa"/>
            <w:gridSpan w:val="2"/>
          </w:tcPr>
          <w:p w:rsidR="00CC295F" w:rsidRPr="00221F30" w14:paraId="307177D3" w14:textId="77777777">
            <w:pPr>
              <w:pStyle w:val="Footer"/>
              <w:rPr>
                <w:rFonts w:ascii="Arial" w:hAnsi="Arial" w:cs="Arial"/>
                <w:color w:val="0082A3"/>
                <w:sz w:val="16"/>
              </w:rPr>
            </w:pPr>
            <w:r w:rsidRPr="00221F30">
              <w:rPr>
                <w:rFonts w:ascii="Arial" w:hAnsi="Arial" w:cs="Arial"/>
                <w:color w:val="0082A3"/>
                <w:sz w:val="16"/>
              </w:rPr>
              <w:fldChar w:fldCharType="begin" w:fldLock="1"/>
            </w:r>
            <w:r w:rsidRPr="00221F30">
              <w:rPr>
                <w:rFonts w:ascii="Arial" w:hAnsi="Arial" w:cs="Arial"/>
                <w:color w:val="0082A3"/>
                <w:sz w:val="16"/>
              </w:rPr>
              <w:instrText xml:space="preserve"> DOCPROPERTY EK_Utgave </w:instrText>
            </w:r>
            <w:r w:rsidRPr="00221F30">
              <w:rPr>
                <w:rFonts w:ascii="Arial" w:hAnsi="Arial" w:cs="Arial"/>
                <w:color w:val="0082A3"/>
                <w:sz w:val="16"/>
              </w:rPr>
              <w:fldChar w:fldCharType="separate"/>
            </w:r>
            <w:r w:rsidRPr="00221F30">
              <w:rPr>
                <w:rFonts w:ascii="Arial" w:hAnsi="Arial" w:cs="Arial"/>
                <w:color w:val="0082A3"/>
                <w:sz w:val="16"/>
              </w:rPr>
              <w:t>1.00</w:t>
            </w:r>
            <w:r w:rsidRPr="00221F30">
              <w:rPr>
                <w:rFonts w:ascii="Arial" w:hAnsi="Arial" w:cs="Arial"/>
                <w:color w:val="0082A3"/>
                <w:sz w:val="16"/>
              </w:rPr>
              <w:fldChar w:fldCharType="end"/>
            </w:r>
          </w:p>
        </w:tc>
      </w:tr>
      <w:tr w14:paraId="307177D8" w14:textId="77777777" w:rsidTr="00A83EEE">
        <w:tblPrEx>
          <w:tblW w:w="9568" w:type="dxa"/>
          <w:tblLayout w:type="fixed"/>
          <w:tblCellMar>
            <w:left w:w="70" w:type="dxa"/>
            <w:right w:w="70" w:type="dxa"/>
          </w:tblCellMar>
          <w:tblLook w:val="0000"/>
        </w:tblPrEx>
        <w:trPr>
          <w:cantSplit/>
          <w:trHeight w:val="62"/>
        </w:trPr>
        <w:tc>
          <w:tcPr>
            <w:tcW w:w="5740" w:type="dxa"/>
            <w:vMerge/>
          </w:tcPr>
          <w:p w:rsidR="00CC295F" w14:paraId="307177D5" w14:textId="77777777">
            <w:pPr>
              <w:pStyle w:val="Header"/>
              <w:tabs>
                <w:tab w:val="num" w:pos="1080"/>
              </w:tabs>
              <w:ind w:left="284" w:right="284"/>
              <w:jc w:val="center"/>
              <w:rPr>
                <w:b/>
                <w:bCs/>
                <w:color w:val="0099CC"/>
                <w:sz w:val="32"/>
              </w:rPr>
            </w:pPr>
          </w:p>
        </w:tc>
        <w:tc>
          <w:tcPr>
            <w:tcW w:w="1276" w:type="dxa"/>
          </w:tcPr>
          <w:p w:rsidR="00CC295F" w:rsidRPr="00221F30" w14:paraId="307177D6" w14:textId="77777777">
            <w:pPr>
              <w:pStyle w:val="Footer"/>
              <w:rPr>
                <w:rFonts w:ascii="Arial" w:hAnsi="Arial" w:cs="Arial"/>
                <w:sz w:val="16"/>
              </w:rPr>
            </w:pPr>
            <w:r w:rsidRPr="00221F30">
              <w:rPr>
                <w:rFonts w:ascii="Arial" w:hAnsi="Arial" w:cs="Arial"/>
                <w:sz w:val="16"/>
              </w:rPr>
              <w:t>Gyldig fra</w:t>
            </w:r>
          </w:p>
        </w:tc>
        <w:tc>
          <w:tcPr>
            <w:tcW w:w="2552" w:type="dxa"/>
            <w:gridSpan w:val="2"/>
          </w:tcPr>
          <w:p w:rsidR="00CC295F" w:rsidRPr="00221F30" w14:paraId="307177D7" w14:textId="77777777">
            <w:pPr>
              <w:pStyle w:val="Footer"/>
              <w:rPr>
                <w:rFonts w:ascii="Arial" w:hAnsi="Arial" w:cs="Arial"/>
                <w:color w:val="0082A3"/>
                <w:sz w:val="16"/>
              </w:rPr>
            </w:pPr>
            <w:r w:rsidRPr="00221F30">
              <w:rPr>
                <w:rFonts w:ascii="Arial" w:hAnsi="Arial" w:cs="Arial"/>
                <w:color w:val="0082A3"/>
                <w:sz w:val="16"/>
              </w:rPr>
              <w:fldChar w:fldCharType="begin" w:fldLock="1"/>
            </w:r>
            <w:r w:rsidRPr="00221F30">
              <w:rPr>
                <w:rFonts w:ascii="Arial" w:hAnsi="Arial" w:cs="Arial"/>
                <w:color w:val="0082A3"/>
                <w:sz w:val="16"/>
              </w:rPr>
              <w:instrText xml:space="preserve"> DOCPROPERTY EK_GjelderFra </w:instrText>
            </w:r>
            <w:r w:rsidRPr="00221F30">
              <w:rPr>
                <w:rFonts w:ascii="Arial" w:hAnsi="Arial" w:cs="Arial"/>
                <w:color w:val="0082A3"/>
                <w:sz w:val="16"/>
              </w:rPr>
              <w:fldChar w:fldCharType="separate"/>
            </w:r>
            <w:r w:rsidRPr="00221F30">
              <w:rPr>
                <w:rFonts w:ascii="Arial" w:hAnsi="Arial" w:cs="Arial"/>
                <w:color w:val="0082A3"/>
                <w:sz w:val="16"/>
              </w:rPr>
              <w:t>07.01.2026</w:t>
            </w:r>
            <w:r w:rsidRPr="00221F30">
              <w:rPr>
                <w:rFonts w:ascii="Arial" w:hAnsi="Arial" w:cs="Arial"/>
                <w:color w:val="0082A3"/>
                <w:sz w:val="16"/>
              </w:rPr>
              <w:fldChar w:fldCharType="end"/>
            </w:r>
          </w:p>
        </w:tc>
      </w:tr>
      <w:tr w14:paraId="307177DC" w14:textId="77777777" w:rsidTr="00A83EEE">
        <w:tblPrEx>
          <w:tblW w:w="9568" w:type="dxa"/>
          <w:tblLayout w:type="fixed"/>
          <w:tblCellMar>
            <w:left w:w="70" w:type="dxa"/>
            <w:right w:w="70" w:type="dxa"/>
          </w:tblCellMar>
          <w:tblLook w:val="0000"/>
        </w:tblPrEx>
        <w:trPr>
          <w:cantSplit/>
          <w:trHeight w:val="133"/>
        </w:trPr>
        <w:tc>
          <w:tcPr>
            <w:tcW w:w="5740" w:type="dxa"/>
            <w:vMerge/>
            <w:vAlign w:val="center"/>
          </w:tcPr>
          <w:p w:rsidR="00CC295F" w14:paraId="307177D9" w14:textId="77777777">
            <w:pPr>
              <w:pStyle w:val="Header"/>
              <w:tabs>
                <w:tab w:val="num" w:pos="1080"/>
              </w:tabs>
              <w:ind w:left="284" w:right="284"/>
              <w:jc w:val="center"/>
              <w:rPr>
                <w:b/>
                <w:bCs/>
                <w:color w:val="A3CED5"/>
              </w:rPr>
            </w:pPr>
          </w:p>
        </w:tc>
        <w:tc>
          <w:tcPr>
            <w:tcW w:w="1276" w:type="dxa"/>
          </w:tcPr>
          <w:p w:rsidR="00CC295F" w:rsidRPr="00221F30" w14:paraId="307177DA" w14:textId="77777777">
            <w:pPr>
              <w:pStyle w:val="Footer"/>
              <w:rPr>
                <w:rFonts w:ascii="Arial" w:hAnsi="Arial" w:cs="Arial"/>
                <w:color w:val="000080"/>
                <w:sz w:val="16"/>
              </w:rPr>
            </w:pPr>
            <w:r w:rsidRPr="00221F30">
              <w:rPr>
                <w:rFonts w:ascii="Arial" w:hAnsi="Arial" w:cs="Arial"/>
                <w:sz w:val="16"/>
              </w:rPr>
              <w:t>Utarbeider</w:t>
            </w:r>
          </w:p>
        </w:tc>
        <w:tc>
          <w:tcPr>
            <w:tcW w:w="2552" w:type="dxa"/>
            <w:gridSpan w:val="2"/>
          </w:tcPr>
          <w:p w:rsidR="00CC295F" w:rsidRPr="00221F30" w:rsidP="00577D7C" w14:paraId="307177DB" w14:textId="77777777">
            <w:pPr>
              <w:pStyle w:val="Footer"/>
              <w:rPr>
                <w:rFonts w:ascii="Arial" w:hAnsi="Arial" w:cs="Arial"/>
                <w:color w:val="000080"/>
                <w:sz w:val="16"/>
              </w:rPr>
            </w:pPr>
            <w:r w:rsidRPr="00221F30">
              <w:rPr>
                <w:rFonts w:ascii="Arial" w:hAnsi="Arial" w:cs="Arial"/>
                <w:color w:val="0082A3"/>
                <w:sz w:val="16"/>
              </w:rPr>
              <w:fldChar w:fldCharType="begin" w:fldLock="1"/>
            </w:r>
            <w:r w:rsidRPr="00221F30">
              <w:rPr>
                <w:rFonts w:ascii="Arial" w:hAnsi="Arial" w:cs="Arial"/>
                <w:color w:val="0082A3"/>
                <w:sz w:val="16"/>
              </w:rPr>
              <w:instrText xml:space="preserve"> DOCPROPERTY EK_SkrevetAv </w:instrText>
            </w:r>
            <w:r w:rsidRPr="00221F30">
              <w:rPr>
                <w:rFonts w:ascii="Arial" w:hAnsi="Arial" w:cs="Arial"/>
                <w:color w:val="0082A3"/>
                <w:sz w:val="16"/>
              </w:rPr>
              <w:fldChar w:fldCharType="separate"/>
            </w:r>
            <w:r w:rsidRPr="00221F30">
              <w:rPr>
                <w:rFonts w:ascii="Arial" w:hAnsi="Arial" w:cs="Arial"/>
                <w:color w:val="0082A3"/>
                <w:sz w:val="16"/>
              </w:rPr>
              <w:t>Fylkestingets sekretariat</w:t>
            </w:r>
            <w:r w:rsidRPr="00221F30">
              <w:rPr>
                <w:rFonts w:ascii="Arial" w:hAnsi="Arial" w:cs="Arial"/>
                <w:color w:val="0082A3"/>
                <w:sz w:val="16"/>
              </w:rPr>
              <w:fldChar w:fldCharType="end"/>
            </w:r>
            <w:r w:rsidRPr="00221F30">
              <w:rPr>
                <w:rFonts w:ascii="Arial" w:hAnsi="Arial" w:cs="Arial"/>
                <w:color w:val="000080"/>
                <w:sz w:val="16"/>
              </w:rPr>
              <w:t xml:space="preserve"> </w:t>
            </w:r>
          </w:p>
        </w:tc>
      </w:tr>
      <w:tr w14:paraId="307177E0" w14:textId="77777777" w:rsidTr="00A83EEE">
        <w:tblPrEx>
          <w:tblW w:w="9568" w:type="dxa"/>
          <w:tblLayout w:type="fixed"/>
          <w:tblCellMar>
            <w:left w:w="70" w:type="dxa"/>
            <w:right w:w="70" w:type="dxa"/>
          </w:tblCellMar>
          <w:tblLook w:val="0000"/>
        </w:tblPrEx>
        <w:trPr>
          <w:cantSplit/>
        </w:trPr>
        <w:tc>
          <w:tcPr>
            <w:tcW w:w="5740" w:type="dxa"/>
            <w:vMerge/>
            <w:vAlign w:val="center"/>
          </w:tcPr>
          <w:p w:rsidR="00CC295F" w14:paraId="307177DD" w14:textId="77777777">
            <w:pPr>
              <w:pStyle w:val="Header"/>
              <w:tabs>
                <w:tab w:val="num" w:pos="1080"/>
              </w:tabs>
              <w:rPr>
                <w:b/>
                <w:bCs/>
              </w:rPr>
            </w:pPr>
          </w:p>
        </w:tc>
        <w:tc>
          <w:tcPr>
            <w:tcW w:w="1276" w:type="dxa"/>
          </w:tcPr>
          <w:p w:rsidR="00CC295F" w:rsidRPr="00221F30" w14:paraId="307177DE" w14:textId="77777777">
            <w:pPr>
              <w:pStyle w:val="Header"/>
              <w:tabs>
                <w:tab w:val="num" w:pos="1080"/>
              </w:tabs>
              <w:rPr>
                <w:rFonts w:ascii="Arial" w:hAnsi="Arial" w:cs="Arial"/>
                <w:sz w:val="16"/>
              </w:rPr>
            </w:pPr>
            <w:r w:rsidRPr="00221F30">
              <w:rPr>
                <w:rFonts w:ascii="Arial" w:hAnsi="Arial" w:cs="Arial"/>
                <w:sz w:val="16"/>
              </w:rPr>
              <w:t>Godkjent</w:t>
            </w:r>
          </w:p>
        </w:tc>
        <w:tc>
          <w:tcPr>
            <w:tcW w:w="2552" w:type="dxa"/>
            <w:gridSpan w:val="2"/>
          </w:tcPr>
          <w:p w:rsidR="00CC295F" w:rsidRPr="00221F30" w:rsidP="00577D7C" w14:paraId="307177DF" w14:textId="77777777">
            <w:pPr>
              <w:pStyle w:val="Footer"/>
              <w:rPr>
                <w:rFonts w:ascii="Arial" w:hAnsi="Arial" w:cs="Arial"/>
                <w:color w:val="000080"/>
                <w:sz w:val="16"/>
              </w:rPr>
            </w:pPr>
            <w:r w:rsidRPr="00221F30">
              <w:rPr>
                <w:rFonts w:ascii="Arial" w:hAnsi="Arial" w:cs="Arial"/>
                <w:color w:val="0082A3"/>
                <w:sz w:val="16"/>
              </w:rPr>
              <w:fldChar w:fldCharType="begin" w:fldLock="1"/>
            </w:r>
            <w:r w:rsidRPr="00221F30">
              <w:rPr>
                <w:rFonts w:ascii="Arial" w:hAnsi="Arial" w:cs="Arial"/>
                <w:color w:val="0082A3"/>
                <w:sz w:val="16"/>
              </w:rPr>
              <w:instrText xml:space="preserve"> DOCPROPERTY EK_Signatur </w:instrText>
            </w:r>
            <w:r w:rsidRPr="00221F30">
              <w:rPr>
                <w:rFonts w:ascii="Arial" w:hAnsi="Arial" w:cs="Arial"/>
                <w:color w:val="0082A3"/>
                <w:sz w:val="16"/>
              </w:rPr>
              <w:fldChar w:fldCharType="separate"/>
            </w:r>
            <w:r w:rsidRPr="00221F30">
              <w:rPr>
                <w:rFonts w:ascii="Arial" w:hAnsi="Arial" w:cs="Arial"/>
                <w:color w:val="0082A3"/>
                <w:sz w:val="16"/>
              </w:rPr>
              <w:t>Lise Karin Wærnes Nilsen</w:t>
            </w:r>
            <w:r w:rsidRPr="00221F30">
              <w:rPr>
                <w:rFonts w:ascii="Arial" w:hAnsi="Arial" w:cs="Arial"/>
                <w:color w:val="0082A3"/>
                <w:sz w:val="16"/>
              </w:rPr>
              <w:fldChar w:fldCharType="end"/>
            </w:r>
          </w:p>
        </w:tc>
      </w:tr>
      <w:tr w14:paraId="307177E3" w14:textId="77777777" w:rsidTr="00D54614">
        <w:tblPrEx>
          <w:tblW w:w="9568" w:type="dxa"/>
          <w:tblLayout w:type="fixed"/>
          <w:tblCellMar>
            <w:left w:w="70" w:type="dxa"/>
            <w:right w:w="70" w:type="dxa"/>
          </w:tblCellMar>
          <w:tblLook w:val="0000"/>
        </w:tblPrEx>
        <w:trPr>
          <w:cantSplit/>
        </w:trPr>
        <w:tc>
          <w:tcPr>
            <w:tcW w:w="8434" w:type="dxa"/>
            <w:gridSpan w:val="3"/>
            <w:vAlign w:val="center"/>
          </w:tcPr>
          <w:p w:rsidR="00577D7C" w:rsidRPr="00221F30" w:rsidP="00071546" w14:paraId="307177E1" w14:textId="77777777">
            <w:pPr>
              <w:pStyle w:val="Header"/>
              <w:tabs>
                <w:tab w:val="num" w:pos="1080"/>
              </w:tabs>
              <w:ind w:left="284" w:right="284"/>
              <w:rPr>
                <w:rStyle w:val="PageNumber"/>
                <w:rFonts w:ascii="Arial" w:hAnsi="Arial" w:cs="Arial"/>
                <w:color w:val="000080"/>
                <w:sz w:val="16"/>
              </w:rPr>
            </w:pPr>
          </w:p>
        </w:tc>
        <w:tc>
          <w:tcPr>
            <w:tcW w:w="1134" w:type="dxa"/>
            <w:vAlign w:val="center"/>
          </w:tcPr>
          <w:p w:rsidR="00577D7C" w:rsidRPr="00221F30" w:rsidP="00577D7C" w14:paraId="307177E2" w14:textId="77777777">
            <w:pPr>
              <w:pStyle w:val="Header"/>
              <w:tabs>
                <w:tab w:val="num" w:pos="1080"/>
              </w:tabs>
              <w:jc w:val="right"/>
              <w:rPr>
                <w:rStyle w:val="PageNumber"/>
                <w:rFonts w:ascii="Arial" w:hAnsi="Arial" w:cs="Arial"/>
                <w:color w:val="000080"/>
                <w:sz w:val="16"/>
              </w:rPr>
            </w:pPr>
            <w:r w:rsidRPr="00221F30">
              <w:rPr>
                <w:rStyle w:val="PageNumber"/>
                <w:rFonts w:ascii="Arial" w:hAnsi="Arial" w:cs="Arial"/>
                <w:sz w:val="16"/>
              </w:rPr>
              <w:t xml:space="preserve">Side </w:t>
            </w:r>
            <w:r w:rsidRPr="00221F30">
              <w:rPr>
                <w:rStyle w:val="PageNumber"/>
                <w:rFonts w:ascii="Arial" w:hAnsi="Arial" w:cs="Arial"/>
                <w:sz w:val="16"/>
              </w:rPr>
              <w:fldChar w:fldCharType="begin"/>
            </w:r>
            <w:r w:rsidRPr="00221F30">
              <w:rPr>
                <w:rStyle w:val="PageNumber"/>
                <w:rFonts w:ascii="Arial" w:hAnsi="Arial" w:cs="Arial"/>
                <w:sz w:val="16"/>
              </w:rPr>
              <w:instrText xml:space="preserve"> PAGE   \* MERGEFORMAT </w:instrText>
            </w:r>
            <w:r w:rsidRPr="00221F30">
              <w:rPr>
                <w:rStyle w:val="PageNumber"/>
                <w:rFonts w:ascii="Arial" w:hAnsi="Arial" w:cs="Arial"/>
                <w:sz w:val="16"/>
              </w:rPr>
              <w:fldChar w:fldCharType="separate"/>
            </w:r>
            <w:r w:rsidRPr="00221F30" w:rsidR="00923DCA">
              <w:rPr>
                <w:rStyle w:val="PageNumber"/>
                <w:rFonts w:ascii="Arial" w:hAnsi="Arial" w:cs="Arial"/>
                <w:noProof/>
                <w:sz w:val="16"/>
              </w:rPr>
              <w:t>1</w:t>
            </w:r>
            <w:r w:rsidRPr="00221F30">
              <w:rPr>
                <w:rStyle w:val="PageNumber"/>
                <w:rFonts w:ascii="Arial" w:hAnsi="Arial" w:cs="Arial"/>
                <w:sz w:val="16"/>
              </w:rPr>
              <w:fldChar w:fldCharType="end"/>
            </w:r>
            <w:r w:rsidRPr="00221F30">
              <w:rPr>
                <w:rStyle w:val="PageNumber"/>
                <w:rFonts w:ascii="Arial" w:hAnsi="Arial" w:cs="Arial"/>
                <w:sz w:val="16"/>
              </w:rPr>
              <w:t xml:space="preserve"> av </w:t>
            </w:r>
            <w:r w:rsidRPr="00221F30">
              <w:rPr>
                <w:rStyle w:val="PageNumber"/>
                <w:rFonts w:ascii="Arial" w:hAnsi="Arial" w:cs="Arial"/>
                <w:sz w:val="16"/>
              </w:rPr>
              <w:fldChar w:fldCharType="begin"/>
            </w:r>
            <w:r w:rsidRPr="00221F30">
              <w:rPr>
                <w:rStyle w:val="PageNumber"/>
                <w:rFonts w:ascii="Arial" w:hAnsi="Arial" w:cs="Arial"/>
                <w:sz w:val="16"/>
              </w:rPr>
              <w:instrText xml:space="preserve"> NUMPAGES   \* MERGEFORMAT </w:instrText>
            </w:r>
            <w:r w:rsidRPr="00221F30">
              <w:rPr>
                <w:rStyle w:val="PageNumber"/>
                <w:rFonts w:ascii="Arial" w:hAnsi="Arial" w:cs="Arial"/>
                <w:sz w:val="16"/>
              </w:rPr>
              <w:fldChar w:fldCharType="separate"/>
            </w:r>
            <w:r w:rsidRPr="00221F30" w:rsidR="00923DCA">
              <w:rPr>
                <w:rStyle w:val="PageNumber"/>
                <w:rFonts w:ascii="Arial" w:hAnsi="Arial" w:cs="Arial"/>
                <w:noProof/>
                <w:sz w:val="16"/>
              </w:rPr>
              <w:t>5</w:t>
            </w:r>
            <w:r w:rsidRPr="00221F30">
              <w:rPr>
                <w:rStyle w:val="PageNumber"/>
                <w:rFonts w:ascii="Arial" w:hAnsi="Arial" w:cs="Arial"/>
                <w:sz w:val="16"/>
              </w:rPr>
              <w:fldChar w:fldCharType="end"/>
            </w:r>
          </w:p>
        </w:tc>
      </w:tr>
      <w:tr w14:paraId="307177E6" w14:textId="77777777" w:rsidTr="00D54614">
        <w:tblPrEx>
          <w:tblW w:w="9568" w:type="dxa"/>
          <w:tblLayout w:type="fixed"/>
          <w:tblCellMar>
            <w:left w:w="70" w:type="dxa"/>
            <w:right w:w="70" w:type="dxa"/>
          </w:tblCellMar>
          <w:tblLook w:val="0000"/>
        </w:tblPrEx>
        <w:trPr>
          <w:cantSplit/>
        </w:trPr>
        <w:tc>
          <w:tcPr>
            <w:tcW w:w="8434" w:type="dxa"/>
            <w:gridSpan w:val="3"/>
            <w:vAlign w:val="center"/>
          </w:tcPr>
          <w:p w:rsidR="00071546" w:rsidRPr="00221F30" w:rsidP="00071546" w14:paraId="307177E4" w14:textId="77777777">
            <w:pPr>
              <w:pStyle w:val="Header"/>
              <w:tabs>
                <w:tab w:val="num" w:pos="1080"/>
              </w:tabs>
              <w:ind w:right="284"/>
              <w:rPr>
                <w:rFonts w:ascii="Arial" w:hAnsi="Arial" w:cs="Arial"/>
                <w:b/>
                <w:bCs/>
                <w:color w:val="000080"/>
                <w:sz w:val="32"/>
              </w:rPr>
            </w:pPr>
            <w:r w:rsidRPr="00221F30">
              <w:rPr>
                <w:rFonts w:ascii="Arial" w:hAnsi="Arial" w:cs="Arial"/>
                <w:b/>
                <w:bCs/>
                <w:color w:val="31849B" w:themeColor="accent5" w:themeShade="BF"/>
                <w:sz w:val="32"/>
              </w:rPr>
              <w:fldChar w:fldCharType="begin" w:fldLock="1"/>
            </w:r>
            <w:r w:rsidRPr="00221F30">
              <w:rPr>
                <w:rFonts w:ascii="Arial" w:hAnsi="Arial" w:cs="Arial"/>
                <w:b/>
                <w:bCs/>
                <w:color w:val="31849B" w:themeColor="accent5" w:themeShade="BF"/>
                <w:sz w:val="32"/>
              </w:rPr>
              <w:instrText xml:space="preserve"> DOCPROPERTY EK_DokTittel </w:instrText>
            </w:r>
            <w:r w:rsidRPr="00221F30">
              <w:rPr>
                <w:rFonts w:ascii="Arial" w:hAnsi="Arial" w:cs="Arial"/>
                <w:b/>
                <w:bCs/>
                <w:color w:val="31849B" w:themeColor="accent5" w:themeShade="BF"/>
                <w:sz w:val="32"/>
              </w:rPr>
              <w:fldChar w:fldCharType="separate"/>
            </w:r>
            <w:r w:rsidRPr="00221F30">
              <w:rPr>
                <w:rFonts w:ascii="Arial" w:hAnsi="Arial" w:cs="Arial"/>
                <w:b/>
                <w:bCs/>
                <w:color w:val="31849B" w:themeColor="accent5" w:themeShade="BF"/>
                <w:sz w:val="32"/>
              </w:rPr>
              <w:t>Håndbok for folkevalgte i Nordland fylkeskommune</w:t>
            </w:r>
            <w:r w:rsidRPr="00221F30">
              <w:rPr>
                <w:rFonts w:ascii="Arial" w:hAnsi="Arial" w:cs="Arial"/>
                <w:b/>
                <w:bCs/>
                <w:color w:val="31849B" w:themeColor="accent5" w:themeShade="BF"/>
                <w:sz w:val="32"/>
              </w:rPr>
              <w:fldChar w:fldCharType="end"/>
            </w:r>
          </w:p>
        </w:tc>
        <w:tc>
          <w:tcPr>
            <w:tcW w:w="1134" w:type="dxa"/>
            <w:vAlign w:val="center"/>
          </w:tcPr>
          <w:p w:rsidR="00071546" w:rsidRPr="00577D7C" w:rsidP="00577D7C" w14:paraId="307177E5" w14:textId="77777777">
            <w:pPr>
              <w:pStyle w:val="Header"/>
              <w:tabs>
                <w:tab w:val="num" w:pos="1080"/>
              </w:tabs>
              <w:jc w:val="right"/>
              <w:rPr>
                <w:rStyle w:val="PageNumber"/>
                <w:rFonts w:ascii="Verdana" w:hAnsi="Verdana"/>
                <w:sz w:val="16"/>
              </w:rPr>
            </w:pPr>
          </w:p>
        </w:tc>
      </w:tr>
    </w:tbl>
    <w:p w:rsidR="00950BED" w:rsidRPr="00FF2C24" w:rsidP="00FF2C24" w14:paraId="307177E7" w14:textId="77777777">
      <w:pPr>
        <w:rPr>
          <w:rFonts w:ascii="Verdana" w:hAnsi="Verdana"/>
          <w:bCs/>
          <w:sz w:val="20"/>
        </w:rPr>
      </w:pPr>
    </w:p>
    <w:p w:rsidR="00887D35" w:rsidRPr="00197632" w14:paraId="307177E8" w14:textId="0317F6AB">
      <w:pPr>
        <w:rPr>
          <w:rFonts w:ascii="Arial" w:hAnsi="Arial" w:cs="Arial"/>
          <w:b/>
          <w:sz w:val="22"/>
          <w:szCs w:val="22"/>
        </w:rPr>
      </w:pPr>
    </w:p>
    <w:p w:rsidR="002D2189" w:rsidRPr="002D2189" w:rsidP="002D2189" w14:paraId="5F531A17" w14:textId="77777777">
      <w:pPr>
        <w:spacing w:after="200" w:line="276" w:lineRule="auto"/>
        <w:rPr>
          <w:rFonts w:ascii="Arial" w:hAnsi="Arial" w:cs="Arial"/>
          <w:bCs/>
          <w:sz w:val="22"/>
          <w:szCs w:val="22"/>
        </w:rPr>
      </w:pPr>
      <w:r w:rsidRPr="002D2189">
        <w:rPr>
          <w:rFonts w:ascii="Arial" w:hAnsi="Arial" w:cs="Arial"/>
          <w:bCs/>
          <w:sz w:val="22"/>
          <w:szCs w:val="22"/>
        </w:rPr>
        <w:t>Formålet med denne håndboka er å klargjøre hvilke rettigheter og plikter den enkelte folkevalgte har.</w:t>
      </w:r>
    </w:p>
    <w:p w:rsidR="002D2189" w:rsidRPr="002D2189" w:rsidP="002D2189" w14:paraId="0D937D48" w14:textId="77777777">
      <w:pPr>
        <w:spacing w:after="200" w:line="276" w:lineRule="auto"/>
        <w:rPr>
          <w:rFonts w:ascii="Arial" w:hAnsi="Arial" w:cs="Arial"/>
          <w:b/>
          <w:sz w:val="22"/>
          <w:szCs w:val="22"/>
        </w:rPr>
      </w:pPr>
      <w:r w:rsidRPr="002D2189">
        <w:rPr>
          <w:rFonts w:ascii="Arial" w:hAnsi="Arial" w:cs="Arial"/>
          <w:b/>
          <w:sz w:val="22"/>
          <w:szCs w:val="22"/>
        </w:rPr>
        <w:t>1</w:t>
      </w:r>
      <w:r w:rsidRPr="002D2189">
        <w:rPr>
          <w:rFonts w:ascii="Arial" w:hAnsi="Arial" w:cs="Arial"/>
          <w:b/>
          <w:sz w:val="22"/>
          <w:szCs w:val="22"/>
        </w:rPr>
        <w:tab/>
        <w:t>Generelt om folkevalgte</w:t>
      </w:r>
    </w:p>
    <w:p w:rsidR="002D2189" w:rsidRPr="002D2189" w:rsidP="002D2189" w14:paraId="6E39F025" w14:textId="77777777">
      <w:pPr>
        <w:spacing w:after="200" w:line="276" w:lineRule="auto"/>
        <w:rPr>
          <w:rFonts w:ascii="Arial" w:hAnsi="Arial" w:cs="Arial"/>
          <w:bCs/>
          <w:sz w:val="22"/>
          <w:szCs w:val="22"/>
        </w:rPr>
      </w:pPr>
      <w:r w:rsidRPr="002D2189">
        <w:rPr>
          <w:rFonts w:ascii="Arial" w:hAnsi="Arial" w:cs="Arial"/>
          <w:bCs/>
          <w:sz w:val="22"/>
          <w:szCs w:val="22"/>
        </w:rPr>
        <w:t>Det utbetales ikke andre godtgjørelser for deltakelse i fylkeskommunale organ/oppgaver, med unntak av det som er regulert i Forskrift - økonomisk godtgjørelse og arbeidsvilkår for folkevalgte i Nordland fylkeskommune</w:t>
      </w:r>
    </w:p>
    <w:p w:rsidR="002D2189" w:rsidRPr="002D2189" w:rsidP="002D2189" w14:paraId="0BE1F664" w14:textId="77777777">
      <w:pPr>
        <w:spacing w:after="200" w:line="276" w:lineRule="auto"/>
        <w:rPr>
          <w:rFonts w:ascii="Arial" w:hAnsi="Arial" w:cs="Arial"/>
          <w:b/>
          <w:sz w:val="22"/>
          <w:szCs w:val="22"/>
        </w:rPr>
      </w:pPr>
      <w:r w:rsidRPr="002D2189">
        <w:rPr>
          <w:rFonts w:ascii="Arial" w:hAnsi="Arial" w:cs="Arial"/>
          <w:b/>
          <w:sz w:val="22"/>
          <w:szCs w:val="22"/>
        </w:rPr>
        <w:t>1.1</w:t>
      </w:r>
      <w:r w:rsidRPr="002D2189">
        <w:rPr>
          <w:rFonts w:ascii="Arial" w:hAnsi="Arial" w:cs="Arial"/>
          <w:b/>
          <w:sz w:val="22"/>
          <w:szCs w:val="22"/>
        </w:rPr>
        <w:tab/>
        <w:t>Elektroniske kommunikasjonsmidler</w:t>
      </w:r>
    </w:p>
    <w:p w:rsidR="002D2189" w:rsidRPr="002D2189" w:rsidP="002D2189" w14:paraId="76B608B5" w14:textId="77777777">
      <w:pPr>
        <w:spacing w:after="200" w:line="276" w:lineRule="auto"/>
        <w:rPr>
          <w:rFonts w:ascii="Arial" w:hAnsi="Arial" w:cs="Arial"/>
          <w:bCs/>
          <w:sz w:val="22"/>
          <w:szCs w:val="22"/>
        </w:rPr>
      </w:pPr>
      <w:r w:rsidRPr="002D2189">
        <w:rPr>
          <w:rFonts w:ascii="Arial" w:hAnsi="Arial" w:cs="Arial"/>
          <w:bCs/>
          <w:sz w:val="22"/>
          <w:szCs w:val="22"/>
        </w:rPr>
        <w:t>Faste medlemmer av fylkestinget, fylkesrådet og faste medlemmer til medvirkningsrådene får utdelt IT-verktøy som skal brukes til saksbehandling, dette eies av Nordland fylkeskommune som også yter support på utstyret.</w:t>
      </w:r>
    </w:p>
    <w:p w:rsidR="002D2189" w:rsidRPr="002D2189" w:rsidP="002D2189" w14:paraId="7AF45933" w14:textId="77777777">
      <w:pPr>
        <w:spacing w:after="200" w:line="276" w:lineRule="auto"/>
        <w:rPr>
          <w:rFonts w:ascii="Arial" w:hAnsi="Arial" w:cs="Arial"/>
          <w:bCs/>
          <w:sz w:val="22"/>
          <w:szCs w:val="22"/>
        </w:rPr>
      </w:pPr>
      <w:r w:rsidRPr="002D2189">
        <w:rPr>
          <w:rFonts w:ascii="Arial" w:hAnsi="Arial" w:cs="Arial"/>
          <w:bCs/>
          <w:sz w:val="22"/>
          <w:szCs w:val="22"/>
        </w:rPr>
        <w:t>Medlemmer av fylkestinget får utbetalt en fast årlig IT-godtgjørelse, til dekning av telefonutgifter og utgifter for å være tilgjengelig på nett/e-post. Denne godtgjørelsen utgjør kr. 5000,- pr. år. Dette gjelder ikke representanter med frikjøp på 65 % eller mer, eller om man får dekt tjenestetelefon jfr. §2-9.</w:t>
      </w:r>
    </w:p>
    <w:p w:rsidR="002D2189" w:rsidRPr="002D2189" w:rsidP="002D2189" w14:paraId="551714B7" w14:textId="77777777">
      <w:pPr>
        <w:spacing w:after="200" w:line="276" w:lineRule="auto"/>
        <w:rPr>
          <w:rFonts w:ascii="Arial" w:hAnsi="Arial" w:cs="Arial"/>
          <w:bCs/>
          <w:sz w:val="22"/>
          <w:szCs w:val="22"/>
        </w:rPr>
      </w:pPr>
      <w:r w:rsidRPr="002D2189">
        <w:rPr>
          <w:rFonts w:ascii="Arial" w:hAnsi="Arial" w:cs="Arial"/>
          <w:bCs/>
          <w:sz w:val="22"/>
          <w:szCs w:val="22"/>
        </w:rPr>
        <w:t>Møtende vararepresentanter til fylkestinget godtgjøres med en IT-godtgjørelse på kr. 200,- pr. møte.</w:t>
      </w:r>
    </w:p>
    <w:p w:rsidR="002D2189" w:rsidRPr="002D2189" w:rsidP="002D2189" w14:paraId="3B233961" w14:textId="77777777">
      <w:pPr>
        <w:spacing w:after="200" w:line="276" w:lineRule="auto"/>
        <w:rPr>
          <w:rFonts w:ascii="Arial" w:hAnsi="Arial" w:cs="Arial"/>
          <w:bCs/>
          <w:sz w:val="22"/>
          <w:szCs w:val="22"/>
        </w:rPr>
      </w:pPr>
      <w:r w:rsidRPr="002D2189">
        <w:rPr>
          <w:rFonts w:ascii="Arial" w:hAnsi="Arial" w:cs="Arial"/>
          <w:bCs/>
          <w:sz w:val="22"/>
          <w:szCs w:val="22"/>
        </w:rPr>
        <w:t>Bestemmelser om innberetning til skatteetaten vil gjelde i henhold til ordinære beskatningsregler. Les mer på skattetaten.no</w:t>
      </w:r>
    </w:p>
    <w:p w:rsidR="002D2189" w:rsidRPr="002D2189" w:rsidP="002D2189" w14:paraId="1C5F5B7C" w14:textId="77777777">
      <w:pPr>
        <w:spacing w:after="200" w:line="276" w:lineRule="auto"/>
        <w:rPr>
          <w:rFonts w:ascii="Arial" w:hAnsi="Arial" w:cs="Arial"/>
          <w:b/>
          <w:sz w:val="22"/>
          <w:szCs w:val="22"/>
        </w:rPr>
      </w:pPr>
      <w:r w:rsidRPr="002D2189">
        <w:rPr>
          <w:rFonts w:ascii="Arial" w:hAnsi="Arial" w:cs="Arial"/>
          <w:b/>
          <w:sz w:val="22"/>
          <w:szCs w:val="22"/>
        </w:rPr>
        <w:t>1.2</w:t>
      </w:r>
      <w:r w:rsidRPr="002D2189">
        <w:rPr>
          <w:rFonts w:ascii="Arial" w:hAnsi="Arial" w:cs="Arial"/>
          <w:b/>
          <w:sz w:val="22"/>
          <w:szCs w:val="22"/>
        </w:rPr>
        <w:tab/>
        <w:t>Sikkerhet</w:t>
      </w:r>
    </w:p>
    <w:p w:rsidR="002D2189" w:rsidRPr="002D2189" w:rsidP="002D2189" w14:paraId="11457619" w14:textId="77777777">
      <w:pPr>
        <w:spacing w:after="200" w:line="276" w:lineRule="auto"/>
        <w:rPr>
          <w:rFonts w:ascii="Arial" w:hAnsi="Arial" w:cs="Arial"/>
          <w:bCs/>
          <w:sz w:val="22"/>
          <w:szCs w:val="22"/>
        </w:rPr>
      </w:pPr>
      <w:r w:rsidRPr="002D2189">
        <w:rPr>
          <w:rFonts w:ascii="Arial" w:hAnsi="Arial" w:cs="Arial"/>
          <w:bCs/>
          <w:sz w:val="22"/>
          <w:szCs w:val="22"/>
        </w:rPr>
        <w:t>Det forventes at våre folkevalgte følger anbefalingene fra sikkerhetsmyndigheter som beskrevet i håndboken Du er av interesse - Gode sikkerhetsråd til deg som stiller til valg, slik at alle bidrar til å sikre sensitiv informasjon om oss selv og politiske prosesser.</w:t>
      </w:r>
    </w:p>
    <w:p w:rsidR="002D2189" w:rsidRPr="002D2189" w:rsidP="002D2189" w14:paraId="4216F67A" w14:textId="77777777">
      <w:pPr>
        <w:spacing w:after="200" w:line="276" w:lineRule="auto"/>
        <w:rPr>
          <w:rFonts w:ascii="Arial" w:hAnsi="Arial" w:cs="Arial"/>
          <w:bCs/>
          <w:sz w:val="22"/>
          <w:szCs w:val="22"/>
        </w:rPr>
      </w:pPr>
      <w:r w:rsidRPr="002D2189">
        <w:rPr>
          <w:rFonts w:ascii="Arial" w:hAnsi="Arial" w:cs="Arial"/>
          <w:bCs/>
          <w:sz w:val="22"/>
          <w:szCs w:val="22"/>
        </w:rPr>
        <w:t>Ved reise til utlandet må anbefalingene fra nasjonale sikkerhetsmyndigheter følges. Ved reise til risiko-land kan det være særlige forholdsregler som må ivaretas og sikkerhetssjefen skal konfereres.</w:t>
      </w:r>
    </w:p>
    <w:p w:rsidR="002D2189" w:rsidRPr="002D2189" w:rsidP="002D2189" w14:paraId="05FA73F3" w14:textId="77777777">
      <w:pPr>
        <w:spacing w:after="200" w:line="276" w:lineRule="auto"/>
        <w:rPr>
          <w:rFonts w:ascii="Arial" w:hAnsi="Arial" w:cs="Arial"/>
          <w:bCs/>
          <w:sz w:val="22"/>
          <w:szCs w:val="22"/>
        </w:rPr>
      </w:pPr>
      <w:r w:rsidRPr="002D2189">
        <w:rPr>
          <w:rFonts w:ascii="Arial" w:hAnsi="Arial" w:cs="Arial"/>
          <w:bCs/>
          <w:sz w:val="22"/>
          <w:szCs w:val="22"/>
        </w:rPr>
        <w:t>Dette gjelder også ved privat reiser så lenge man er folkevalgt og benytter fylkeskommunens utstyr som data og mobil.</w:t>
      </w:r>
    </w:p>
    <w:p w:rsidR="002D2189" w:rsidRPr="002D2189" w:rsidP="002D2189" w14:paraId="1C65B381" w14:textId="128F0C81">
      <w:pPr>
        <w:spacing w:after="200" w:line="276" w:lineRule="auto"/>
        <w:rPr>
          <w:rFonts w:ascii="Arial" w:hAnsi="Arial" w:cs="Arial"/>
          <w:b/>
          <w:sz w:val="22"/>
          <w:szCs w:val="22"/>
        </w:rPr>
      </w:pPr>
      <w:r w:rsidRPr="002D2189">
        <w:rPr>
          <w:rFonts w:ascii="Arial" w:hAnsi="Arial" w:cs="Arial"/>
          <w:b/>
          <w:sz w:val="22"/>
          <w:szCs w:val="22"/>
        </w:rPr>
        <w:t>1.3</w:t>
      </w:r>
      <w:r w:rsidRPr="002D2189">
        <w:rPr>
          <w:rFonts w:ascii="Arial" w:hAnsi="Arial" w:cs="Arial"/>
          <w:b/>
          <w:sz w:val="22"/>
          <w:szCs w:val="22"/>
        </w:rPr>
        <w:tab/>
        <w:t>Etiske re</w:t>
      </w:r>
      <w:r>
        <w:rPr>
          <w:rFonts w:ascii="Arial" w:hAnsi="Arial" w:cs="Arial"/>
          <w:b/>
          <w:sz w:val="22"/>
          <w:szCs w:val="22"/>
        </w:rPr>
        <w:t>tn</w:t>
      </w:r>
      <w:r w:rsidRPr="002D2189">
        <w:rPr>
          <w:rFonts w:ascii="Arial" w:hAnsi="Arial" w:cs="Arial"/>
          <w:b/>
          <w:sz w:val="22"/>
          <w:szCs w:val="22"/>
        </w:rPr>
        <w:t>ingslinjer</w:t>
      </w:r>
    </w:p>
    <w:p w:rsidR="002D2189" w:rsidRPr="002D2189" w:rsidP="002D2189" w14:paraId="04A40DC5" w14:textId="77777777">
      <w:pPr>
        <w:spacing w:after="200" w:line="276" w:lineRule="auto"/>
        <w:rPr>
          <w:rFonts w:ascii="Arial" w:hAnsi="Arial" w:cs="Arial"/>
          <w:bCs/>
          <w:sz w:val="22"/>
          <w:szCs w:val="22"/>
        </w:rPr>
      </w:pPr>
      <w:r w:rsidRPr="002D2189">
        <w:rPr>
          <w:rFonts w:ascii="Arial" w:hAnsi="Arial" w:cs="Arial"/>
          <w:bCs/>
          <w:sz w:val="22"/>
          <w:szCs w:val="22"/>
        </w:rPr>
        <w:t>Etiske retningslinjer for Nordland fylkeskommune gjelder for samtlige fylkeskommunale folkevalgte. Etiske retningslinjer for personer i tjeneste for Nordland fylkeskommune</w:t>
      </w:r>
    </w:p>
    <w:p w:rsidR="002D2189" w:rsidP="002D2189" w14:paraId="331A237B" w14:textId="5CB83D32">
      <w:pPr>
        <w:spacing w:after="200" w:line="276" w:lineRule="auto"/>
        <w:rPr>
          <w:rFonts w:ascii="Arial" w:hAnsi="Arial" w:cs="Arial"/>
          <w:bCs/>
          <w:sz w:val="22"/>
          <w:szCs w:val="22"/>
        </w:rPr>
      </w:pPr>
      <w:r w:rsidRPr="002D2189">
        <w:rPr>
          <w:rFonts w:ascii="Arial" w:hAnsi="Arial" w:cs="Arial"/>
          <w:bCs/>
          <w:sz w:val="22"/>
          <w:szCs w:val="22"/>
        </w:rPr>
        <w:t xml:space="preserve">Alle folkevalgte skal registrere styreverv og økonomiske interesser i Velkommen </w:t>
      </w:r>
      <w:r>
        <w:rPr>
          <w:rFonts w:ascii="Arial" w:hAnsi="Arial" w:cs="Arial"/>
          <w:bCs/>
          <w:sz w:val="22"/>
          <w:szCs w:val="22"/>
        </w:rPr>
        <w:t>–</w:t>
      </w:r>
      <w:r w:rsidRPr="002D2189">
        <w:rPr>
          <w:rFonts w:ascii="Arial" w:hAnsi="Arial" w:cs="Arial"/>
          <w:bCs/>
          <w:sz w:val="22"/>
          <w:szCs w:val="22"/>
        </w:rPr>
        <w:t xml:space="preserve"> Styrevervregisteret</w:t>
      </w:r>
    </w:p>
    <w:p w:rsidR="002D2189" w:rsidRPr="002D2189" w:rsidP="002D2189" w14:paraId="3FFC8411" w14:textId="77777777">
      <w:pPr>
        <w:spacing w:after="200" w:line="276" w:lineRule="auto"/>
        <w:rPr>
          <w:rFonts w:ascii="Arial" w:hAnsi="Arial" w:cs="Arial"/>
          <w:bCs/>
          <w:sz w:val="22"/>
          <w:szCs w:val="22"/>
        </w:rPr>
      </w:pPr>
    </w:p>
    <w:p w:rsidR="002D2189" w:rsidRPr="002D2189" w:rsidP="002D2189" w14:paraId="1F9F2AFB" w14:textId="5A949E34">
      <w:pPr>
        <w:spacing w:after="200" w:line="276" w:lineRule="auto"/>
        <w:rPr>
          <w:rFonts w:ascii="Arial" w:hAnsi="Arial" w:cs="Arial"/>
          <w:b/>
          <w:sz w:val="22"/>
          <w:szCs w:val="22"/>
        </w:rPr>
      </w:pPr>
      <w:r w:rsidRPr="002D2189">
        <w:rPr>
          <w:rFonts w:ascii="Arial" w:hAnsi="Arial" w:cs="Arial"/>
          <w:b/>
          <w:sz w:val="22"/>
          <w:szCs w:val="22"/>
        </w:rPr>
        <w:t>2</w:t>
      </w:r>
      <w:r w:rsidRPr="002D2189">
        <w:rPr>
          <w:rFonts w:ascii="Arial" w:hAnsi="Arial" w:cs="Arial"/>
          <w:b/>
          <w:sz w:val="22"/>
          <w:szCs w:val="22"/>
        </w:rPr>
        <w:tab/>
        <w:t>Frikjøpte politikere og fylkesrådets medlemmer</w:t>
      </w:r>
    </w:p>
    <w:p w:rsidR="002D2189" w:rsidRPr="002D2189" w:rsidP="002D2189" w14:paraId="38408F83" w14:textId="77777777">
      <w:pPr>
        <w:spacing w:after="200" w:line="276" w:lineRule="auto"/>
        <w:rPr>
          <w:rFonts w:ascii="Arial" w:hAnsi="Arial" w:cs="Arial"/>
          <w:bCs/>
          <w:sz w:val="22"/>
          <w:szCs w:val="22"/>
        </w:rPr>
      </w:pPr>
      <w:r w:rsidRPr="002D2189">
        <w:rPr>
          <w:rFonts w:ascii="Arial" w:hAnsi="Arial" w:cs="Arial"/>
          <w:bCs/>
          <w:sz w:val="22"/>
          <w:szCs w:val="22"/>
        </w:rPr>
        <w:t>Frikjøpte politikere er utpekt av sin partigruppe i fylkestinget, fylkesrådets medlemmer velges av fylkestinget. Frikjøpte politikere og fylkesrådet omfattes ikke av det avtaleverk som gjelder for tilsatte i fylkeskommunen, og har derfor ikke noe stillingsvern. Partigruppen kan når som helst velge å skifte ut frikjøpte politikere. Nærmere omtale av rettigheter og plikter for frikjøpte politikere framgår av Nordland fylkestings forretningsorden 2023, og av Forskrift - økonomisk godtgjørelse og arbeidsvilkår for folkevalgte i Nordland fylkeskommune slik disse er vedtatt av fylkestinget.</w:t>
      </w:r>
    </w:p>
    <w:p w:rsidR="002D2189" w:rsidRPr="002D2189" w:rsidP="002D2189" w14:paraId="13EEDD65" w14:textId="77777777">
      <w:pPr>
        <w:spacing w:after="200" w:line="276" w:lineRule="auto"/>
        <w:rPr>
          <w:rFonts w:ascii="Arial" w:hAnsi="Arial" w:cs="Arial"/>
          <w:b/>
          <w:sz w:val="22"/>
          <w:szCs w:val="22"/>
        </w:rPr>
      </w:pPr>
      <w:r w:rsidRPr="002D2189">
        <w:rPr>
          <w:rFonts w:ascii="Arial" w:hAnsi="Arial" w:cs="Arial"/>
          <w:b/>
          <w:sz w:val="22"/>
          <w:szCs w:val="22"/>
        </w:rPr>
        <w:t>2.1</w:t>
      </w:r>
      <w:r w:rsidRPr="002D2189">
        <w:rPr>
          <w:rFonts w:ascii="Arial" w:hAnsi="Arial" w:cs="Arial"/>
          <w:b/>
          <w:sz w:val="22"/>
          <w:szCs w:val="22"/>
        </w:rPr>
        <w:tab/>
        <w:t>Arbeidsvilkår og godtgjørelse</w:t>
      </w:r>
    </w:p>
    <w:p w:rsidR="002D2189" w:rsidRPr="002D2189" w:rsidP="002D2189" w14:paraId="4DB02443" w14:textId="77777777">
      <w:pPr>
        <w:spacing w:after="200" w:line="276" w:lineRule="auto"/>
        <w:rPr>
          <w:rFonts w:ascii="Arial" w:hAnsi="Arial" w:cs="Arial"/>
          <w:bCs/>
          <w:sz w:val="22"/>
          <w:szCs w:val="22"/>
        </w:rPr>
      </w:pPr>
      <w:r w:rsidRPr="002D2189">
        <w:rPr>
          <w:rFonts w:ascii="Arial" w:hAnsi="Arial" w:cs="Arial"/>
          <w:bCs/>
          <w:sz w:val="22"/>
          <w:szCs w:val="22"/>
        </w:rPr>
        <w:t>Godtgjørelsen for folkevalgte i Nordland fylkeskommune er fastsatt av fylkestinget, jfr. Forskrift - økonomisk godtgjørelse og arbeidsvilkår for folkevalgte i Nordland fylkeskommune, vedtatt i fylkestingssak 126/2023</w:t>
      </w:r>
    </w:p>
    <w:p w:rsidR="002D2189" w:rsidRPr="002D2189" w:rsidP="002D2189" w14:paraId="3EE8E533" w14:textId="77777777">
      <w:pPr>
        <w:spacing w:after="200" w:line="276" w:lineRule="auto"/>
        <w:rPr>
          <w:rFonts w:ascii="Arial" w:hAnsi="Arial" w:cs="Arial"/>
          <w:bCs/>
          <w:sz w:val="22"/>
          <w:szCs w:val="22"/>
        </w:rPr>
      </w:pPr>
      <w:r w:rsidRPr="002D2189">
        <w:rPr>
          <w:rFonts w:ascii="Arial" w:hAnsi="Arial" w:cs="Arial"/>
          <w:bCs/>
          <w:sz w:val="22"/>
          <w:szCs w:val="22"/>
        </w:rPr>
        <w:t>Arbeidsmiljølovens bestemmelser gjelder ikke for fylkesordfører, frikjøpte politikere, og fylkesråd.</w:t>
      </w:r>
    </w:p>
    <w:p w:rsidR="002D2189" w:rsidRPr="002D2189" w:rsidP="002D2189" w14:paraId="2F4422C4" w14:textId="77777777">
      <w:pPr>
        <w:spacing w:after="200" w:line="276" w:lineRule="auto"/>
        <w:rPr>
          <w:rFonts w:ascii="Arial" w:hAnsi="Arial" w:cs="Arial"/>
          <w:bCs/>
          <w:sz w:val="22"/>
          <w:szCs w:val="22"/>
        </w:rPr>
      </w:pPr>
      <w:r w:rsidRPr="002D2189">
        <w:rPr>
          <w:rFonts w:ascii="Arial" w:hAnsi="Arial" w:cs="Arial"/>
          <w:bCs/>
          <w:sz w:val="22"/>
          <w:szCs w:val="22"/>
        </w:rPr>
        <w:t>Fylkesrådslederens godtgjørelse benevnes som basis. Denne utgjør 80% av den årlige godtgjørelsen til regjeringens statsråder. Når godtgjørelsen til statsrådene endres, skal nye satser beregnes for basis, uten ny behandling i fylkestinget.</w:t>
      </w:r>
    </w:p>
    <w:p w:rsidR="002D2189" w:rsidRPr="002D2189" w:rsidP="002D2189" w14:paraId="057F5E28" w14:textId="77777777">
      <w:pPr>
        <w:spacing w:after="200" w:line="276" w:lineRule="auto"/>
        <w:rPr>
          <w:rFonts w:ascii="Arial" w:hAnsi="Arial" w:cs="Arial"/>
          <w:bCs/>
          <w:sz w:val="22"/>
          <w:szCs w:val="22"/>
        </w:rPr>
      </w:pPr>
      <w:r w:rsidRPr="002D2189">
        <w:rPr>
          <w:rFonts w:ascii="Arial" w:hAnsi="Arial" w:cs="Arial"/>
          <w:bCs/>
          <w:sz w:val="22"/>
          <w:szCs w:val="22"/>
        </w:rPr>
        <w:t>Fylkesordfører ytes en godtgjørelse på 90% av basis.</w:t>
      </w:r>
    </w:p>
    <w:p w:rsidR="002D2189" w:rsidRPr="002D2189" w:rsidP="002D2189" w14:paraId="3020F3A1" w14:textId="77777777">
      <w:pPr>
        <w:spacing w:after="200" w:line="276" w:lineRule="auto"/>
        <w:rPr>
          <w:rFonts w:ascii="Arial" w:hAnsi="Arial" w:cs="Arial"/>
          <w:bCs/>
          <w:sz w:val="22"/>
          <w:szCs w:val="22"/>
        </w:rPr>
      </w:pPr>
      <w:r w:rsidRPr="002D2189">
        <w:rPr>
          <w:rFonts w:ascii="Arial" w:hAnsi="Arial" w:cs="Arial"/>
          <w:bCs/>
          <w:sz w:val="22"/>
          <w:szCs w:val="22"/>
        </w:rPr>
        <w:t>§ 5-2 Generelle bestemmelser ved vervet som hovedbeskjeftigelse – frikjøp 65% eller mer gjelder også.</w:t>
      </w:r>
    </w:p>
    <w:p w:rsidR="002D2189" w:rsidRPr="002D2189" w:rsidP="002D2189" w14:paraId="5AB14CD1" w14:textId="77777777">
      <w:pPr>
        <w:spacing w:after="200" w:line="276" w:lineRule="auto"/>
        <w:rPr>
          <w:rFonts w:ascii="Arial" w:hAnsi="Arial" w:cs="Arial"/>
          <w:bCs/>
          <w:sz w:val="22"/>
          <w:szCs w:val="22"/>
        </w:rPr>
      </w:pPr>
      <w:r w:rsidRPr="002D2189">
        <w:rPr>
          <w:rFonts w:ascii="Arial" w:hAnsi="Arial" w:cs="Arial"/>
          <w:bCs/>
          <w:sz w:val="22"/>
          <w:szCs w:val="22"/>
        </w:rPr>
        <w:t>Fylkesvaraordfører ytes en godtgjørelse på 8% av basis, om fylkesvaraordføreren ikke kommer inn under bestemmelsene i § 5-2 om frikjøp. Fylkesvaraordfører ytes møtegodtgjørelse for fylkestingssamlinger etter § 3- 1.</w:t>
      </w:r>
    </w:p>
    <w:p w:rsidR="002D2189" w:rsidRPr="002D2189" w:rsidP="002D2189" w14:paraId="57BD324E" w14:textId="77777777">
      <w:pPr>
        <w:spacing w:after="200" w:line="276" w:lineRule="auto"/>
        <w:rPr>
          <w:rFonts w:ascii="Arial" w:hAnsi="Arial" w:cs="Arial"/>
          <w:bCs/>
          <w:sz w:val="22"/>
          <w:szCs w:val="22"/>
        </w:rPr>
      </w:pPr>
      <w:r w:rsidRPr="002D2189">
        <w:rPr>
          <w:rFonts w:ascii="Arial" w:hAnsi="Arial" w:cs="Arial"/>
          <w:bCs/>
          <w:sz w:val="22"/>
          <w:szCs w:val="22"/>
        </w:rPr>
        <w:t>Dersom fylkesvaraordfører er frikjøpt godtgjøres denne med 2 % av basis.</w:t>
      </w:r>
    </w:p>
    <w:p w:rsidR="002D2189" w:rsidRPr="002D2189" w:rsidP="002D2189" w14:paraId="7729716E" w14:textId="77777777">
      <w:pPr>
        <w:spacing w:after="200" w:line="276" w:lineRule="auto"/>
        <w:rPr>
          <w:rFonts w:ascii="Arial" w:hAnsi="Arial" w:cs="Arial"/>
          <w:bCs/>
          <w:sz w:val="22"/>
          <w:szCs w:val="22"/>
        </w:rPr>
      </w:pPr>
      <w:r w:rsidRPr="002D2189">
        <w:rPr>
          <w:rFonts w:ascii="Arial" w:hAnsi="Arial" w:cs="Arial"/>
          <w:bCs/>
          <w:sz w:val="22"/>
          <w:szCs w:val="22"/>
        </w:rPr>
        <w:t>Ved frikjøp mindre enn 65%, dekkes tjenestetelefon, reise- og oppholdsutgifter samt møtegodtgjørelse og tapt arbeidsinntekt i forbindelse med fylkeskommunale møter etter vanlig praksis av den som innkaller.</w:t>
      </w:r>
    </w:p>
    <w:p w:rsidR="002D2189" w:rsidRPr="002D2189" w:rsidP="002D2189" w14:paraId="5E8835AF" w14:textId="77777777">
      <w:pPr>
        <w:spacing w:after="200" w:line="276" w:lineRule="auto"/>
        <w:rPr>
          <w:rFonts w:ascii="Arial" w:hAnsi="Arial" w:cs="Arial"/>
          <w:b/>
          <w:sz w:val="22"/>
          <w:szCs w:val="22"/>
        </w:rPr>
      </w:pPr>
      <w:r w:rsidRPr="002D2189">
        <w:rPr>
          <w:rFonts w:ascii="Arial" w:hAnsi="Arial" w:cs="Arial"/>
          <w:b/>
          <w:sz w:val="22"/>
          <w:szCs w:val="22"/>
        </w:rPr>
        <w:t>2.2</w:t>
      </w:r>
      <w:r w:rsidRPr="002D2189">
        <w:rPr>
          <w:rFonts w:ascii="Arial" w:hAnsi="Arial" w:cs="Arial"/>
          <w:b/>
          <w:sz w:val="22"/>
          <w:szCs w:val="22"/>
        </w:rPr>
        <w:tab/>
        <w:t>Ettergodtgjørelse</w:t>
      </w:r>
    </w:p>
    <w:p w:rsidR="002D2189" w:rsidRPr="002D2189" w:rsidP="002D2189" w14:paraId="2A8072B0" w14:textId="77777777">
      <w:pPr>
        <w:spacing w:after="200" w:line="276" w:lineRule="auto"/>
        <w:rPr>
          <w:rFonts w:ascii="Arial" w:hAnsi="Arial" w:cs="Arial"/>
          <w:bCs/>
          <w:sz w:val="22"/>
          <w:szCs w:val="22"/>
        </w:rPr>
      </w:pPr>
      <w:r w:rsidRPr="002D2189">
        <w:rPr>
          <w:rFonts w:ascii="Arial" w:hAnsi="Arial" w:cs="Arial"/>
          <w:bCs/>
          <w:sz w:val="22"/>
          <w:szCs w:val="22"/>
        </w:rPr>
        <w:t>Folkevalgte som har vervet som sin hovedbeskjeftigelse, kan søke om å motta ettergodtgjørelse i en måned fra det tidspunkt vervet opphører. Retten til ettergodtgjørelse skal avkortes krone for krone mot annen inntekt. Det samme gjelder for ordinær inntekt som den folkevalgte frivillig avstår fra. Pensjonsinntekter etter folketrygdloven kapittel 19 og kapittel 20 skal ikke anses som inntekt etter andre ledd.</w:t>
      </w:r>
    </w:p>
    <w:p w:rsidR="002D2189" w:rsidRPr="002D2189" w:rsidP="002D2189" w14:paraId="071E31EF" w14:textId="77777777">
      <w:pPr>
        <w:spacing w:after="200" w:line="276" w:lineRule="auto"/>
        <w:rPr>
          <w:rFonts w:ascii="Arial" w:hAnsi="Arial" w:cs="Arial"/>
          <w:bCs/>
          <w:sz w:val="22"/>
          <w:szCs w:val="22"/>
        </w:rPr>
      </w:pPr>
      <w:r w:rsidRPr="002D2189">
        <w:rPr>
          <w:rFonts w:ascii="Arial" w:hAnsi="Arial" w:cs="Arial"/>
          <w:bCs/>
          <w:sz w:val="22"/>
          <w:szCs w:val="22"/>
        </w:rPr>
        <w:t>Dersom det ikke er inntektsgivende arbeid/verv å gå tilbake til, kan man søke om å motta inntil tre måneders ettergodtgjørelse. Ettergodtgjørelse opphører umiddelbart ved inntreden i annet inntektsgivende arbeid/verv, eller avkortes krone for krone.</w:t>
      </w:r>
    </w:p>
    <w:p w:rsidR="002D2189" w:rsidRPr="002D2189" w:rsidP="002D2189" w14:paraId="1D23C050" w14:textId="77777777">
      <w:pPr>
        <w:spacing w:after="200" w:line="276" w:lineRule="auto"/>
        <w:rPr>
          <w:rFonts w:ascii="Arial" w:hAnsi="Arial" w:cs="Arial"/>
          <w:bCs/>
          <w:sz w:val="22"/>
          <w:szCs w:val="22"/>
        </w:rPr>
      </w:pPr>
      <w:r w:rsidRPr="002D2189">
        <w:rPr>
          <w:rFonts w:ascii="Arial" w:hAnsi="Arial" w:cs="Arial"/>
          <w:bCs/>
          <w:sz w:val="22"/>
          <w:szCs w:val="22"/>
        </w:rPr>
        <w:t>En søknad om ettergodtgjørelse fra et medlem av fylkestinget eller fra fylkesrådslederen behandles av fylkesordføreren. En søknad om ettergodtgjørelse fra fylkesrådets øvrige medlemmer eller fra politisk rådgiver behandles av fylkesrådslederen, unntatt når hele fylkesrådet går av – da behandles slik søknad av fylkesordføreren. Fylkesordføreren har rett til å søke om samme ettergodtgjørelse som øvrig frikjøpte politikere, slik søknad behandles av fylkesrådsleder.</w:t>
      </w:r>
    </w:p>
    <w:p w:rsidR="002D2189" w:rsidRPr="002D2189" w:rsidP="002D2189" w14:paraId="26C2A500" w14:textId="77777777">
      <w:pPr>
        <w:spacing w:after="200" w:line="276" w:lineRule="auto"/>
        <w:rPr>
          <w:rFonts w:ascii="Arial" w:hAnsi="Arial" w:cs="Arial"/>
          <w:bCs/>
          <w:sz w:val="22"/>
          <w:szCs w:val="22"/>
        </w:rPr>
      </w:pPr>
      <w:r w:rsidRPr="002D2189">
        <w:rPr>
          <w:rFonts w:ascii="Arial" w:hAnsi="Arial" w:cs="Arial"/>
          <w:bCs/>
          <w:sz w:val="22"/>
          <w:szCs w:val="22"/>
        </w:rPr>
        <w:t>Feriegodtgjørelse ved fratredelse ved frikjøp 1 år eller mer, utbetales tilsvarende 1 måneds godtgjørelse. Ved kortere frikjøp enn 1 år beregnes feriegodtgjørelsen med 1/12 av siste 12 måneders godtgjørelse. Frikjøpte folkevalgte er ikke omfattet av Ferieloven.</w:t>
      </w:r>
    </w:p>
    <w:p w:rsidR="002D2189" w:rsidRPr="002D2189" w:rsidP="002D2189" w14:paraId="1170D149" w14:textId="77777777">
      <w:pPr>
        <w:spacing w:after="200" w:line="276" w:lineRule="auto"/>
        <w:rPr>
          <w:rFonts w:ascii="Arial" w:hAnsi="Arial" w:cs="Arial"/>
          <w:bCs/>
          <w:sz w:val="22"/>
          <w:szCs w:val="22"/>
        </w:rPr>
      </w:pPr>
      <w:r w:rsidRPr="002D2189">
        <w:rPr>
          <w:rFonts w:ascii="Arial" w:hAnsi="Arial" w:cs="Arial"/>
          <w:bCs/>
          <w:sz w:val="22"/>
          <w:szCs w:val="22"/>
        </w:rPr>
        <w:t>Søknader om ettergodtgjørelse og feriegodtgjørelse ved fratredelse behandles av fylkesordfører i samråd med forretningsutvalget.</w:t>
      </w:r>
    </w:p>
    <w:p w:rsidR="002D2189" w:rsidRPr="002D2189" w:rsidP="002D2189" w14:paraId="27027038" w14:textId="77777777">
      <w:pPr>
        <w:spacing w:after="200" w:line="276" w:lineRule="auto"/>
        <w:rPr>
          <w:rFonts w:ascii="Arial" w:hAnsi="Arial" w:cs="Arial"/>
          <w:b/>
          <w:sz w:val="22"/>
          <w:szCs w:val="22"/>
        </w:rPr>
      </w:pPr>
      <w:r w:rsidRPr="002D2189">
        <w:rPr>
          <w:rFonts w:ascii="Arial" w:hAnsi="Arial" w:cs="Arial"/>
          <w:b/>
          <w:sz w:val="22"/>
          <w:szCs w:val="22"/>
        </w:rPr>
        <w:t>2.3</w:t>
      </w:r>
      <w:r w:rsidRPr="002D2189">
        <w:rPr>
          <w:rFonts w:ascii="Arial" w:hAnsi="Arial" w:cs="Arial"/>
          <w:b/>
          <w:sz w:val="22"/>
          <w:szCs w:val="22"/>
        </w:rPr>
        <w:tab/>
        <w:t>Ferie og fravær</w:t>
      </w:r>
    </w:p>
    <w:p w:rsidR="002D2189" w:rsidRPr="002D2189" w:rsidP="002D2189" w14:paraId="2397D72F" w14:textId="77777777">
      <w:pPr>
        <w:spacing w:after="200" w:line="276" w:lineRule="auto"/>
        <w:rPr>
          <w:rFonts w:ascii="Arial" w:hAnsi="Arial" w:cs="Arial"/>
          <w:bCs/>
          <w:sz w:val="22"/>
          <w:szCs w:val="22"/>
        </w:rPr>
      </w:pPr>
      <w:r w:rsidRPr="002D2189">
        <w:rPr>
          <w:rFonts w:ascii="Arial" w:hAnsi="Arial" w:cs="Arial"/>
          <w:bCs/>
          <w:sz w:val="22"/>
          <w:szCs w:val="22"/>
        </w:rPr>
        <w:t>Frikjøpte politikere omfattes ikke av ferieloven, men har samme rett til å ta ut ferie (feriefritid) som de fylkeskommunalt ansatte. Den enkelte frikjøpte politiker anmodes om å informere fylkesordfører om når ferie skal avvikles.</w:t>
      </w:r>
    </w:p>
    <w:p w:rsidR="002D2189" w:rsidRPr="002D2189" w:rsidP="002D2189" w14:paraId="54974657" w14:textId="77777777">
      <w:pPr>
        <w:spacing w:after="200" w:line="276" w:lineRule="auto"/>
        <w:rPr>
          <w:rFonts w:ascii="Arial" w:hAnsi="Arial" w:cs="Arial"/>
          <w:bCs/>
          <w:sz w:val="22"/>
          <w:szCs w:val="22"/>
        </w:rPr>
      </w:pPr>
      <w:r w:rsidRPr="002D2189">
        <w:rPr>
          <w:rFonts w:ascii="Arial" w:hAnsi="Arial" w:cs="Arial"/>
          <w:bCs/>
          <w:sz w:val="22"/>
          <w:szCs w:val="22"/>
        </w:rPr>
        <w:t>Ved ferie eller fravær hvor det kan være usikkert hvorvidt politikeren kan nås pr. mobiltelefon, skal sekretariatet informeres om oppholdssted.</w:t>
      </w:r>
    </w:p>
    <w:p w:rsidR="002D2189" w:rsidRPr="002D2189" w:rsidP="002D2189" w14:paraId="22B065CA" w14:textId="77777777">
      <w:pPr>
        <w:spacing w:after="200" w:line="276" w:lineRule="auto"/>
        <w:rPr>
          <w:rFonts w:ascii="Arial" w:hAnsi="Arial" w:cs="Arial"/>
          <w:bCs/>
          <w:sz w:val="22"/>
          <w:szCs w:val="22"/>
        </w:rPr>
      </w:pPr>
      <w:r w:rsidRPr="002D2189">
        <w:rPr>
          <w:rFonts w:ascii="Arial" w:hAnsi="Arial" w:cs="Arial"/>
          <w:bCs/>
          <w:sz w:val="22"/>
          <w:szCs w:val="22"/>
        </w:rPr>
        <w:t>Ved fravær ut over egenmelding, må det leveres sykmelding. Øvrige bestemmelser, se Forskrift - økonomisk godtgjørelse og arbeidsvilkår for folkevalgte i Nordland fylkeskommune</w:t>
      </w:r>
    </w:p>
    <w:p w:rsidR="002D2189" w:rsidRPr="002D2189" w:rsidP="002D2189" w14:paraId="429AD8DE" w14:textId="77777777">
      <w:pPr>
        <w:spacing w:after="200" w:line="276" w:lineRule="auto"/>
        <w:rPr>
          <w:rFonts w:ascii="Arial" w:hAnsi="Arial" w:cs="Arial"/>
          <w:b/>
          <w:sz w:val="22"/>
          <w:szCs w:val="22"/>
        </w:rPr>
      </w:pPr>
      <w:r w:rsidRPr="002D2189">
        <w:rPr>
          <w:rFonts w:ascii="Arial" w:hAnsi="Arial" w:cs="Arial"/>
          <w:b/>
          <w:sz w:val="22"/>
          <w:szCs w:val="22"/>
        </w:rPr>
        <w:t>2.4</w:t>
      </w:r>
      <w:r w:rsidRPr="002D2189">
        <w:rPr>
          <w:rFonts w:ascii="Arial" w:hAnsi="Arial" w:cs="Arial"/>
          <w:b/>
          <w:sz w:val="22"/>
          <w:szCs w:val="22"/>
        </w:rPr>
        <w:tab/>
        <w:t>Sosiale forhold</w:t>
      </w:r>
    </w:p>
    <w:p w:rsidR="002D2189" w:rsidRPr="002D2189" w:rsidP="002D2189" w14:paraId="497EA40D" w14:textId="77777777">
      <w:pPr>
        <w:spacing w:after="200" w:line="276" w:lineRule="auto"/>
        <w:rPr>
          <w:rFonts w:ascii="Arial" w:hAnsi="Arial" w:cs="Arial"/>
          <w:bCs/>
          <w:sz w:val="22"/>
          <w:szCs w:val="22"/>
        </w:rPr>
      </w:pPr>
      <w:r w:rsidRPr="002D2189">
        <w:rPr>
          <w:rFonts w:ascii="Arial" w:hAnsi="Arial" w:cs="Arial"/>
          <w:bCs/>
          <w:sz w:val="22"/>
          <w:szCs w:val="22"/>
        </w:rPr>
        <w:t>Generelle bestemmelser ved vervet som hovedbeskjeftigelse - frikjøp 65 % eller mer.</w:t>
      </w:r>
    </w:p>
    <w:p w:rsidR="002D2189" w:rsidRPr="002D2189" w:rsidP="002D2189" w14:paraId="1A6853AD" w14:textId="77777777">
      <w:pPr>
        <w:spacing w:after="200" w:line="276" w:lineRule="auto"/>
        <w:rPr>
          <w:rFonts w:ascii="Arial" w:hAnsi="Arial" w:cs="Arial"/>
          <w:bCs/>
          <w:sz w:val="22"/>
          <w:szCs w:val="22"/>
        </w:rPr>
      </w:pPr>
      <w:r w:rsidRPr="002D2189">
        <w:rPr>
          <w:rFonts w:ascii="Arial" w:hAnsi="Arial" w:cs="Arial"/>
          <w:bCs/>
          <w:sz w:val="22"/>
          <w:szCs w:val="22"/>
        </w:rPr>
        <w:t>Når bosted er utenfor Bodø kommune, eller ved uforholdsmessig lang reisevei, kan møblert hybel/bolig stilles til disposisjon i Bodø, ved behov. Lys, oppvarming og kommunale avgifter dekkes.</w:t>
      </w:r>
    </w:p>
    <w:p w:rsidR="002D2189" w:rsidRPr="002D2189" w:rsidP="002D2189" w14:paraId="653388BE" w14:textId="77777777">
      <w:pPr>
        <w:spacing w:after="200" w:line="276" w:lineRule="auto"/>
        <w:rPr>
          <w:rFonts w:ascii="Arial" w:hAnsi="Arial" w:cs="Arial"/>
          <w:bCs/>
          <w:sz w:val="22"/>
          <w:szCs w:val="22"/>
        </w:rPr>
      </w:pPr>
      <w:r w:rsidRPr="002D2189">
        <w:rPr>
          <w:rFonts w:ascii="Arial" w:hAnsi="Arial" w:cs="Arial"/>
          <w:bCs/>
          <w:sz w:val="22"/>
          <w:szCs w:val="22"/>
        </w:rPr>
        <w:t>I tillegg:</w:t>
      </w:r>
    </w:p>
    <w:p w:rsidR="002D2189" w:rsidRPr="002D2189" w:rsidP="002D2189" w14:paraId="145460CC" w14:textId="701869E8">
      <w:pPr>
        <w:pStyle w:val="ListParagraph"/>
        <w:numPr>
          <w:ilvl w:val="0"/>
          <w:numId w:val="1"/>
        </w:numPr>
        <w:spacing w:after="200" w:line="276" w:lineRule="auto"/>
        <w:rPr>
          <w:rFonts w:ascii="Arial" w:hAnsi="Arial" w:cs="Arial"/>
          <w:bCs/>
          <w:sz w:val="22"/>
          <w:szCs w:val="22"/>
        </w:rPr>
      </w:pPr>
      <w:r w:rsidRPr="002D2189">
        <w:rPr>
          <w:rFonts w:ascii="Arial" w:hAnsi="Arial" w:cs="Arial"/>
          <w:bCs/>
          <w:sz w:val="22"/>
          <w:szCs w:val="22"/>
        </w:rPr>
        <w:t>diett med overnatting i pendlerbolig skal utgjøre 50 % av satsen for” Diett pensjonat eller hybel/brakke med kokemuligheter”. Denne satsen er skattepliktig.</w:t>
      </w:r>
    </w:p>
    <w:p w:rsidR="002D2189" w:rsidRPr="002D2189" w:rsidP="002D2189" w14:paraId="0412266A" w14:textId="22E20307">
      <w:pPr>
        <w:pStyle w:val="ListParagraph"/>
        <w:numPr>
          <w:ilvl w:val="0"/>
          <w:numId w:val="1"/>
        </w:numPr>
        <w:spacing w:after="200" w:line="276" w:lineRule="auto"/>
        <w:rPr>
          <w:rFonts w:ascii="Arial" w:hAnsi="Arial" w:cs="Arial"/>
          <w:bCs/>
          <w:sz w:val="22"/>
          <w:szCs w:val="22"/>
        </w:rPr>
      </w:pPr>
      <w:r w:rsidRPr="002D2189">
        <w:rPr>
          <w:rFonts w:ascii="Arial" w:hAnsi="Arial" w:cs="Arial"/>
          <w:bCs/>
          <w:sz w:val="22"/>
          <w:szCs w:val="22"/>
        </w:rPr>
        <w:t>dekkes hjemreise en gang pr. uke. Fylkesordfører/kontorleder kan i særskilte tilfeller innvilge ekstra hjemreise.</w:t>
      </w:r>
    </w:p>
    <w:p w:rsidR="002D2189" w:rsidRPr="002D2189" w:rsidP="002D2189" w14:paraId="47585BBE" w14:textId="313BACB6">
      <w:pPr>
        <w:pStyle w:val="ListParagraph"/>
        <w:numPr>
          <w:ilvl w:val="0"/>
          <w:numId w:val="1"/>
        </w:numPr>
        <w:spacing w:after="200" w:line="276" w:lineRule="auto"/>
        <w:rPr>
          <w:rFonts w:ascii="Arial" w:hAnsi="Arial" w:cs="Arial"/>
          <w:bCs/>
          <w:sz w:val="22"/>
          <w:szCs w:val="22"/>
        </w:rPr>
      </w:pPr>
      <w:r w:rsidRPr="002D2189">
        <w:rPr>
          <w:rFonts w:ascii="Arial" w:hAnsi="Arial" w:cs="Arial"/>
          <w:bCs/>
          <w:sz w:val="22"/>
          <w:szCs w:val="22"/>
        </w:rPr>
        <w:t>stilles kontorfasiliteter på fylkeshuset til disposisjon</w:t>
      </w:r>
    </w:p>
    <w:p w:rsidR="002D2189" w:rsidRPr="002D2189" w:rsidP="002D2189" w14:paraId="23C45A72" w14:textId="3FD8719A">
      <w:pPr>
        <w:pStyle w:val="ListParagraph"/>
        <w:numPr>
          <w:ilvl w:val="0"/>
          <w:numId w:val="1"/>
        </w:numPr>
        <w:spacing w:after="200" w:line="276" w:lineRule="auto"/>
        <w:rPr>
          <w:rFonts w:ascii="Arial" w:hAnsi="Arial" w:cs="Arial"/>
          <w:bCs/>
          <w:sz w:val="22"/>
          <w:szCs w:val="22"/>
        </w:rPr>
      </w:pPr>
      <w:r w:rsidRPr="002D2189">
        <w:rPr>
          <w:rFonts w:ascii="Arial" w:hAnsi="Arial" w:cs="Arial"/>
          <w:bCs/>
          <w:sz w:val="22"/>
          <w:szCs w:val="22"/>
        </w:rPr>
        <w:t>deltakelse i fylkeskommunens forsikringsordninger</w:t>
      </w:r>
    </w:p>
    <w:p w:rsidR="002D2189" w:rsidRPr="002D2189" w:rsidP="002D2189" w14:paraId="3ECE99C3" w14:textId="451C5068">
      <w:pPr>
        <w:pStyle w:val="ListParagraph"/>
        <w:numPr>
          <w:ilvl w:val="0"/>
          <w:numId w:val="1"/>
        </w:numPr>
        <w:spacing w:after="200" w:line="276" w:lineRule="auto"/>
        <w:rPr>
          <w:rFonts w:ascii="Arial" w:hAnsi="Arial" w:cs="Arial"/>
          <w:bCs/>
          <w:sz w:val="22"/>
          <w:szCs w:val="22"/>
        </w:rPr>
      </w:pPr>
      <w:r w:rsidRPr="002D2189">
        <w:rPr>
          <w:rFonts w:ascii="Arial" w:hAnsi="Arial" w:cs="Arial"/>
          <w:bCs/>
          <w:sz w:val="22"/>
          <w:szCs w:val="22"/>
        </w:rPr>
        <w:t>dekkes tjenestetelefon, jf. Reglement for mobilordning i Nordland fylkeskommune</w:t>
      </w:r>
    </w:p>
    <w:p w:rsidR="002D2189" w:rsidRPr="002D2189" w:rsidP="002D2189" w14:paraId="16ED9938" w14:textId="1DAA2042">
      <w:pPr>
        <w:pStyle w:val="ListParagraph"/>
        <w:numPr>
          <w:ilvl w:val="0"/>
          <w:numId w:val="1"/>
        </w:numPr>
        <w:spacing w:after="200" w:line="276" w:lineRule="auto"/>
        <w:rPr>
          <w:rFonts w:ascii="Arial" w:hAnsi="Arial" w:cs="Arial"/>
          <w:bCs/>
          <w:sz w:val="22"/>
          <w:szCs w:val="22"/>
        </w:rPr>
      </w:pPr>
      <w:r w:rsidRPr="002D2189">
        <w:rPr>
          <w:rFonts w:ascii="Arial" w:hAnsi="Arial" w:cs="Arial"/>
          <w:bCs/>
          <w:sz w:val="22"/>
          <w:szCs w:val="22"/>
        </w:rPr>
        <w:t>ytes ettergodtgjørelse i henhold til § 5-3</w:t>
      </w:r>
    </w:p>
    <w:p w:rsidR="002D2189" w:rsidRPr="002D2189" w:rsidP="002D2189" w14:paraId="53B2FADD" w14:textId="77777777">
      <w:pPr>
        <w:spacing w:after="200" w:line="276" w:lineRule="auto"/>
        <w:rPr>
          <w:rFonts w:ascii="Arial" w:hAnsi="Arial" w:cs="Arial"/>
          <w:b/>
          <w:sz w:val="22"/>
          <w:szCs w:val="22"/>
        </w:rPr>
      </w:pPr>
      <w:r w:rsidRPr="002D2189">
        <w:rPr>
          <w:rFonts w:ascii="Arial" w:hAnsi="Arial" w:cs="Arial"/>
          <w:b/>
          <w:sz w:val="22"/>
          <w:szCs w:val="22"/>
        </w:rPr>
        <w:t>2.5</w:t>
      </w:r>
      <w:r w:rsidRPr="002D2189">
        <w:rPr>
          <w:rFonts w:ascii="Arial" w:hAnsi="Arial" w:cs="Arial"/>
          <w:b/>
          <w:sz w:val="22"/>
          <w:szCs w:val="22"/>
        </w:rPr>
        <w:tab/>
        <w:t>Pensjon</w:t>
      </w:r>
    </w:p>
    <w:p w:rsidR="002D2189" w:rsidRPr="002D2189" w:rsidP="002D2189" w14:paraId="2FAF8826" w14:textId="77777777">
      <w:pPr>
        <w:spacing w:after="200" w:line="276" w:lineRule="auto"/>
        <w:rPr>
          <w:rFonts w:ascii="Arial" w:hAnsi="Arial" w:cs="Arial"/>
          <w:bCs/>
          <w:sz w:val="22"/>
          <w:szCs w:val="22"/>
        </w:rPr>
      </w:pPr>
      <w:r w:rsidRPr="002D2189">
        <w:rPr>
          <w:rFonts w:ascii="Arial" w:hAnsi="Arial" w:cs="Arial"/>
          <w:bCs/>
          <w:sz w:val="22"/>
          <w:szCs w:val="22"/>
        </w:rPr>
        <w:t>Frikjøpte politikere meldes automatisk inn i KLPs pensjonsordning. Full opptjening beregnes på samme måte som for ansatte.</w:t>
      </w:r>
    </w:p>
    <w:p w:rsidR="002D2189" w:rsidRPr="002D2189" w:rsidP="002D2189" w14:paraId="5E70C9F2" w14:textId="77777777">
      <w:pPr>
        <w:spacing w:after="200" w:line="276" w:lineRule="auto"/>
        <w:rPr>
          <w:rFonts w:ascii="Arial" w:hAnsi="Arial" w:cs="Arial"/>
          <w:b/>
          <w:sz w:val="22"/>
          <w:szCs w:val="22"/>
        </w:rPr>
      </w:pPr>
      <w:r w:rsidRPr="002D2189">
        <w:rPr>
          <w:rFonts w:ascii="Arial" w:hAnsi="Arial" w:cs="Arial"/>
          <w:b/>
          <w:sz w:val="22"/>
          <w:szCs w:val="22"/>
        </w:rPr>
        <w:t>2.6</w:t>
      </w:r>
      <w:r w:rsidRPr="002D2189">
        <w:rPr>
          <w:rFonts w:ascii="Arial" w:hAnsi="Arial" w:cs="Arial"/>
          <w:b/>
          <w:sz w:val="22"/>
          <w:szCs w:val="22"/>
        </w:rPr>
        <w:tab/>
        <w:t>Tjenestereiser</w:t>
      </w:r>
    </w:p>
    <w:p w:rsidR="002D2189" w:rsidRPr="002D2189" w:rsidP="002D2189" w14:paraId="28003CC1" w14:textId="77777777">
      <w:pPr>
        <w:spacing w:after="200" w:line="276" w:lineRule="auto"/>
        <w:rPr>
          <w:rFonts w:ascii="Arial" w:hAnsi="Arial" w:cs="Arial"/>
          <w:bCs/>
          <w:sz w:val="22"/>
          <w:szCs w:val="22"/>
        </w:rPr>
      </w:pPr>
      <w:r w:rsidRPr="002D2189">
        <w:rPr>
          <w:rFonts w:ascii="Arial" w:hAnsi="Arial" w:cs="Arial"/>
          <w:bCs/>
          <w:sz w:val="22"/>
          <w:szCs w:val="22"/>
        </w:rPr>
        <w:t>Folkevalgte får dekket sine utgifter til tjenestereise etter Statens reiseregulativ, dersom h*n representerer fylkeskommunen. Når frikjøpte politikere reiser på vegne av sin partigruppe, dekkes dette av partigruppens midler.</w:t>
      </w:r>
    </w:p>
    <w:p w:rsidR="002D2189" w:rsidRPr="002D2189" w:rsidP="002D2189" w14:paraId="0408DB79" w14:textId="77777777">
      <w:pPr>
        <w:spacing w:after="200" w:line="276" w:lineRule="auto"/>
        <w:rPr>
          <w:rFonts w:ascii="Arial" w:hAnsi="Arial" w:cs="Arial"/>
          <w:bCs/>
          <w:sz w:val="22"/>
          <w:szCs w:val="22"/>
        </w:rPr>
      </w:pPr>
      <w:r w:rsidRPr="002D2189">
        <w:rPr>
          <w:rFonts w:ascii="Arial" w:hAnsi="Arial" w:cs="Arial"/>
          <w:bCs/>
          <w:sz w:val="22"/>
          <w:szCs w:val="22"/>
        </w:rPr>
        <w:t>Tjenestereiser og studieturer til utlandet for frikjøpte politikere, samt fylkestingets medlemmer, skal godkjennes av fylkesordføreren.</w:t>
      </w:r>
    </w:p>
    <w:p w:rsidR="002D2189" w:rsidRPr="002D2189" w:rsidP="002D2189" w14:paraId="2310424F" w14:textId="77777777">
      <w:pPr>
        <w:spacing w:after="200" w:line="276" w:lineRule="auto"/>
        <w:rPr>
          <w:rFonts w:ascii="Arial" w:hAnsi="Arial" w:cs="Arial"/>
          <w:bCs/>
          <w:sz w:val="22"/>
          <w:szCs w:val="22"/>
        </w:rPr>
      </w:pPr>
      <w:r w:rsidRPr="002D2189">
        <w:rPr>
          <w:rFonts w:ascii="Arial" w:hAnsi="Arial" w:cs="Arial"/>
          <w:bCs/>
          <w:sz w:val="22"/>
          <w:szCs w:val="22"/>
        </w:rPr>
        <w:t>For pendlerreiser til og fra Bodø skal det leveres separate reiseregninger. Vedtatte retningslinjer for reiser til utlandet skal følges.</w:t>
      </w:r>
    </w:p>
    <w:p w:rsidR="002D2189" w:rsidRPr="002D2189" w:rsidP="002D2189" w14:paraId="41CC8E37" w14:textId="77777777">
      <w:pPr>
        <w:spacing w:after="200" w:line="276" w:lineRule="auto"/>
        <w:rPr>
          <w:rFonts w:ascii="Arial" w:hAnsi="Arial" w:cs="Arial"/>
          <w:bCs/>
          <w:sz w:val="22"/>
          <w:szCs w:val="22"/>
        </w:rPr>
      </w:pPr>
      <w:r w:rsidRPr="002D2189">
        <w:rPr>
          <w:rFonts w:ascii="Arial" w:hAnsi="Arial" w:cs="Arial"/>
          <w:bCs/>
          <w:sz w:val="22"/>
          <w:szCs w:val="22"/>
        </w:rPr>
        <w:t>Den enkelte folkevalgte er ansvarlig for å levere reiseregning snarest, og innen to uker etter gjennomført reise. Reiseregning skal føres elektronisk. Alle utgifter som kreves refundert skal dokumenteres med originale bilag, via reiseregningssystemet.</w:t>
      </w:r>
    </w:p>
    <w:p w:rsidR="002D2189" w:rsidRPr="002D2189" w:rsidP="002D2189" w14:paraId="2D77F3A7" w14:textId="77777777">
      <w:pPr>
        <w:spacing w:after="200" w:line="276" w:lineRule="auto"/>
        <w:rPr>
          <w:rFonts w:ascii="Arial" w:hAnsi="Arial" w:cs="Arial"/>
          <w:b/>
          <w:sz w:val="22"/>
          <w:szCs w:val="22"/>
        </w:rPr>
      </w:pPr>
      <w:r w:rsidRPr="002D2189">
        <w:rPr>
          <w:rFonts w:ascii="Arial" w:hAnsi="Arial" w:cs="Arial"/>
          <w:b/>
          <w:sz w:val="22"/>
          <w:szCs w:val="22"/>
        </w:rPr>
        <w:t>2.7</w:t>
      </w:r>
      <w:r w:rsidRPr="002D2189">
        <w:rPr>
          <w:rFonts w:ascii="Arial" w:hAnsi="Arial" w:cs="Arial"/>
          <w:b/>
          <w:sz w:val="22"/>
          <w:szCs w:val="22"/>
        </w:rPr>
        <w:tab/>
        <w:t>Ved fratredelse</w:t>
      </w:r>
    </w:p>
    <w:p w:rsidR="002D2189" w:rsidRPr="002D2189" w:rsidP="002D2189" w14:paraId="6DCB0DE1" w14:textId="77777777">
      <w:pPr>
        <w:spacing w:after="200" w:line="276" w:lineRule="auto"/>
        <w:rPr>
          <w:rFonts w:ascii="Arial" w:hAnsi="Arial" w:cs="Arial"/>
          <w:bCs/>
          <w:sz w:val="22"/>
          <w:szCs w:val="22"/>
        </w:rPr>
      </w:pPr>
      <w:r w:rsidRPr="002D2189">
        <w:rPr>
          <w:rFonts w:ascii="Arial" w:hAnsi="Arial" w:cs="Arial"/>
          <w:bCs/>
          <w:sz w:val="22"/>
          <w:szCs w:val="22"/>
        </w:rPr>
        <w:t>Ordningen med kontor, utstyr og evt. telefon avvikles snarest mulig, og senest én uke etter fratredelse. PC og evt. mobil må leveres inn til IT avdelingen for avinstallering av programvare som er knyttet til rollen.</w:t>
      </w:r>
    </w:p>
    <w:p w:rsidR="002D2189" w:rsidRPr="002D2189" w:rsidP="002D2189" w14:paraId="386E1557" w14:textId="77777777">
      <w:pPr>
        <w:spacing w:after="200" w:line="276" w:lineRule="auto"/>
        <w:rPr>
          <w:rFonts w:ascii="Arial" w:hAnsi="Arial" w:cs="Arial"/>
          <w:bCs/>
          <w:sz w:val="22"/>
          <w:szCs w:val="22"/>
        </w:rPr>
      </w:pPr>
      <w:r w:rsidRPr="002D2189">
        <w:rPr>
          <w:rFonts w:ascii="Arial" w:hAnsi="Arial" w:cs="Arial"/>
          <w:bCs/>
          <w:sz w:val="22"/>
          <w:szCs w:val="22"/>
        </w:rPr>
        <w:t>De som disponerer tjenestebolig, skal flytte fra leiligheten - uten oppsigelse - senest 30 dager etter opphør av verv</w:t>
      </w:r>
    </w:p>
    <w:p w:rsidR="002D2189" w:rsidRPr="002D2189" w:rsidP="002D2189" w14:paraId="57319E6D" w14:textId="77777777">
      <w:pPr>
        <w:spacing w:after="200" w:line="276" w:lineRule="auto"/>
        <w:rPr>
          <w:rFonts w:ascii="Arial" w:hAnsi="Arial" w:cs="Arial"/>
          <w:b/>
          <w:sz w:val="22"/>
          <w:szCs w:val="22"/>
        </w:rPr>
      </w:pPr>
      <w:r w:rsidRPr="002D2189">
        <w:rPr>
          <w:rFonts w:ascii="Arial" w:hAnsi="Arial" w:cs="Arial"/>
          <w:b/>
          <w:sz w:val="22"/>
          <w:szCs w:val="22"/>
        </w:rPr>
        <w:t>2.8</w:t>
      </w:r>
      <w:r w:rsidRPr="002D2189">
        <w:rPr>
          <w:rFonts w:ascii="Arial" w:hAnsi="Arial" w:cs="Arial"/>
          <w:b/>
          <w:sz w:val="22"/>
          <w:szCs w:val="22"/>
        </w:rPr>
        <w:tab/>
        <w:t>Gaver og representasjon</w:t>
      </w:r>
    </w:p>
    <w:p w:rsidR="002D2189" w:rsidRPr="002D2189" w:rsidP="002D2189" w14:paraId="2597AEFD" w14:textId="77777777">
      <w:pPr>
        <w:spacing w:after="200" w:line="276" w:lineRule="auto"/>
        <w:rPr>
          <w:rFonts w:ascii="Arial" w:hAnsi="Arial" w:cs="Arial"/>
          <w:bCs/>
          <w:sz w:val="22"/>
          <w:szCs w:val="22"/>
        </w:rPr>
      </w:pPr>
      <w:r w:rsidRPr="002D2189">
        <w:rPr>
          <w:rFonts w:ascii="Arial" w:hAnsi="Arial" w:cs="Arial"/>
          <w:bCs/>
          <w:sz w:val="22"/>
          <w:szCs w:val="22"/>
        </w:rPr>
        <w:t>Folkevalgte vil ofte være i situasjoner hvor det er naturlig både å gi og å motta gaver. Folkevalgte plikter å vise moderasjon i slike sammenhenger. Dersom en folkevalgte mottar en personlig gave som er av en såpass stor verdi at den er skattepliktig, er det vedkommende politikers eget ansvar å sørge for å opplyse om dette til Skatteetaten.</w:t>
      </w:r>
    </w:p>
    <w:p w:rsidR="002D2189" w:rsidRPr="002D2189" w:rsidP="002D2189" w14:paraId="55879E87" w14:textId="77777777">
      <w:pPr>
        <w:spacing w:after="200" w:line="276" w:lineRule="auto"/>
        <w:rPr>
          <w:rFonts w:ascii="Arial" w:hAnsi="Arial" w:cs="Arial"/>
          <w:bCs/>
          <w:sz w:val="22"/>
          <w:szCs w:val="22"/>
        </w:rPr>
      </w:pPr>
      <w:r w:rsidRPr="002D2189">
        <w:rPr>
          <w:rFonts w:ascii="Arial" w:hAnsi="Arial" w:cs="Arial"/>
          <w:bCs/>
          <w:sz w:val="22"/>
          <w:szCs w:val="22"/>
        </w:rPr>
        <w:t>Dersom det er tvil om gaven bør mottas, kan fylkesadvokatens kontor kontaktes for konsultasjon.</w:t>
      </w:r>
    </w:p>
    <w:p w:rsidR="002D2189" w:rsidRPr="002D2189" w:rsidP="002D2189" w14:paraId="08743FF7" w14:textId="77777777">
      <w:pPr>
        <w:spacing w:after="200" w:line="276" w:lineRule="auto"/>
        <w:rPr>
          <w:rFonts w:ascii="Arial" w:hAnsi="Arial" w:cs="Arial"/>
          <w:bCs/>
          <w:sz w:val="22"/>
          <w:szCs w:val="22"/>
        </w:rPr>
      </w:pPr>
      <w:r w:rsidRPr="002D2189">
        <w:rPr>
          <w:rFonts w:ascii="Arial" w:hAnsi="Arial" w:cs="Arial"/>
          <w:bCs/>
          <w:sz w:val="22"/>
          <w:szCs w:val="22"/>
        </w:rPr>
        <w:t>Folkevalgte deltar ofte på middager og i sosiale sammenkomster. Dette er viktig for å utvikle og opprettholde et godt kontaktnett. I slike sammenhenger skal alle folkevalgte legge vekt på å være en god ambassadør for Nordland.</w:t>
      </w:r>
    </w:p>
    <w:p w:rsidR="002D2189" w:rsidRPr="002D2189" w:rsidP="002D2189" w14:paraId="5A5E5685" w14:textId="77777777">
      <w:pPr>
        <w:spacing w:after="200" w:line="276" w:lineRule="auto"/>
        <w:rPr>
          <w:rFonts w:ascii="Arial" w:hAnsi="Arial" w:cs="Arial"/>
          <w:b/>
          <w:sz w:val="22"/>
          <w:szCs w:val="22"/>
        </w:rPr>
      </w:pPr>
      <w:r w:rsidRPr="002D2189">
        <w:rPr>
          <w:rFonts w:ascii="Arial" w:hAnsi="Arial" w:cs="Arial"/>
          <w:b/>
          <w:sz w:val="22"/>
          <w:szCs w:val="22"/>
        </w:rPr>
        <w:t>2.9</w:t>
      </w:r>
      <w:r w:rsidRPr="002D2189">
        <w:rPr>
          <w:rFonts w:ascii="Arial" w:hAnsi="Arial" w:cs="Arial"/>
          <w:b/>
          <w:sz w:val="22"/>
          <w:szCs w:val="22"/>
        </w:rPr>
        <w:tab/>
        <w:t>Andre forhold</w:t>
      </w:r>
    </w:p>
    <w:p w:rsidR="00CF2430" w:rsidP="002D2189" w14:paraId="53E84F8F" w14:textId="1A00FE43">
      <w:pPr>
        <w:spacing w:after="200" w:line="276" w:lineRule="auto"/>
        <w:rPr>
          <w:rFonts w:ascii="Arial" w:hAnsi="Arial" w:cs="Arial"/>
          <w:bCs/>
          <w:sz w:val="22"/>
          <w:szCs w:val="22"/>
        </w:rPr>
      </w:pPr>
      <w:r w:rsidRPr="002D2189">
        <w:rPr>
          <w:rFonts w:ascii="Arial" w:hAnsi="Arial" w:cs="Arial"/>
          <w:bCs/>
          <w:sz w:val="22"/>
          <w:szCs w:val="22"/>
        </w:rPr>
        <w:t>Dersom det oppstår andre forhold enn de som er omtalt i denne håndbok og som det ikke er åpenbart hvordan skal håndteres, eller tvil om hvordan innholdet i denne håndbok skal forstås, plikter den enkelte frikjøpte politiker å drøfte dette med fylkesordføreren eller fylkesrådslederen.</w:t>
      </w:r>
    </w:p>
    <w:p w:rsidR="00950BED" w:rsidRPr="00197632" w:rsidP="002D2189" w14:paraId="307177EC" w14:textId="77777777">
      <w:pPr>
        <w:spacing w:after="200" w:line="276" w:lineRule="auto"/>
        <w:ind w:left="2127" w:hanging="2127"/>
        <w:jc w:val="both"/>
        <w:rPr>
          <w:rFonts w:ascii="Arial" w:hAnsi="Arial" w:cs="Arial"/>
          <w:sz w:val="22"/>
          <w:szCs w:val="22"/>
        </w:rPr>
      </w:pPr>
      <w:r w:rsidRPr="00197632">
        <w:rPr>
          <w:rFonts w:ascii="Arial" w:hAnsi="Arial" w:cs="Arial"/>
          <w:b/>
          <w:bCs/>
          <w:sz w:val="22"/>
          <w:szCs w:val="22"/>
        </w:rPr>
        <w:t>Interne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2D2189">
            <w:pPr>
              <w:numPr>
                <w:ilvl w:val="0"/>
                <w:numId w:val="0"/>
              </w:numPr>
              <w:spacing w:after="200" w:line="276" w:lineRule="auto"/>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rsidP="002D2189">
            <w:pPr>
              <w:numPr>
                <w:ilvl w:val="0"/>
                <w:numId w:val="0"/>
              </w:numPr>
              <w:spacing w:after="200" w:line="276" w:lineRule="auto"/>
              <w:rPr>
                <w:b w:val="0"/>
                <w:color w:val="0000FF"/>
                <w:u w:val="single"/>
              </w:rPr>
            </w:pPr>
            <w:r>
              <w:rPr>
                <w:b w:val="0"/>
                <w:color w:val="0000FF"/>
                <w:u w:val="single"/>
              </w:rPr>
              <w:t xml:space="preserve"> </w:t>
            </w:r>
          </w:p>
        </w:tc>
      </w:tr>
    </w:tbl>
    <w:p w:rsidR="00950BED" w:rsidRPr="00197632" w:rsidP="002D2189" w14:paraId="307177F1" w14:textId="77777777">
      <w:pPr>
        <w:pStyle w:val="Caption"/>
        <w:spacing w:after="200" w:line="276" w:lineRule="auto"/>
        <w:rPr>
          <w:rFonts w:ascii="Arial" w:hAnsi="Arial" w:cs="Arial"/>
          <w:sz w:val="22"/>
          <w:szCs w:val="22"/>
        </w:rPr>
      </w:pPr>
      <w:bookmarkEnd w:id="1"/>
    </w:p>
    <w:p w:rsidR="00950BED" w:rsidRPr="00197632" w:rsidP="002D2189" w14:paraId="307177F2" w14:textId="77777777">
      <w:pPr>
        <w:spacing w:after="200" w:line="276" w:lineRule="auto"/>
        <w:rPr>
          <w:rFonts w:ascii="Arial" w:hAnsi="Arial" w:cs="Arial"/>
          <w:b/>
          <w:bCs/>
          <w:sz w:val="22"/>
          <w:szCs w:val="22"/>
        </w:rPr>
      </w:pPr>
      <w:r w:rsidRPr="00197632">
        <w:rPr>
          <w:rFonts w:ascii="Arial" w:hAnsi="Arial" w:cs="Arial"/>
          <w:b/>
          <w:bCs/>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2D2189">
            <w:pPr>
              <w:numPr>
                <w:ilvl w:val="0"/>
                <w:numId w:val="0"/>
              </w:numPr>
              <w:spacing w:after="200" w:line="276" w:lineRule="auto"/>
              <w:rPr>
                <w:b w:val="0"/>
                <w:color w:val="0000FF"/>
                <w:u w:val="single"/>
              </w:rPr>
            </w:pPr>
            <w:bookmarkStart w:id="2" w:name="EK_EksRef"/>
            <w:r>
              <w:rPr>
                <w:b w:val="0"/>
                <w:color w:val="0000FF"/>
                <w:u w:val="single"/>
              </w:rPr>
              <w:t xml:space="preserve"> </w:t>
            </w:r>
          </w:p>
        </w:tc>
      </w:tr>
    </w:tbl>
    <w:p w:rsidR="00071546" w:rsidRPr="00197632" w:rsidP="002D2189" w14:paraId="307177F6" w14:textId="77777777">
      <w:pPr>
        <w:spacing w:after="200" w:line="276" w:lineRule="auto"/>
        <w:rPr>
          <w:rFonts w:ascii="Arial" w:hAnsi="Arial" w:cs="Arial"/>
          <w:sz w:val="22"/>
          <w:szCs w:val="22"/>
        </w:rPr>
      </w:pPr>
      <w:bookmarkEnd w:id="2"/>
    </w:p>
    <w:p w:rsidR="00B60AD3" w:rsidP="002D2189" w14:paraId="307177F7" w14:textId="34607A10">
      <w:pPr>
        <w:spacing w:after="200" w:line="276" w:lineRule="auto"/>
        <w:rPr>
          <w:rFonts w:ascii="Arial" w:hAnsi="Arial" w:cs="Arial"/>
          <w:sz w:val="22"/>
          <w:szCs w:val="22"/>
        </w:rPr>
      </w:pPr>
    </w:p>
    <w:p w:rsidR="00950BED" w:rsidRPr="00197632" w:rsidP="002D2189" w14:paraId="2FEC8BBF" w14:textId="77777777">
      <w:pPr>
        <w:spacing w:after="200" w:line="276" w:lineRule="auto"/>
        <w:rPr>
          <w:rFonts w:ascii="Arial" w:hAnsi="Arial" w:cs="Arial"/>
          <w:sz w:val="22"/>
          <w:szCs w:val="22"/>
        </w:rPr>
      </w:pPr>
    </w:p>
    <w:sectPr>
      <w:headerReference w:type="default" r:id="rId5"/>
      <w:footerReference w:type="even" r:id="rId6"/>
      <w:footerReference w:type="default" r:id="rId7"/>
      <w:footerReference w:type="first" r:id="rId8"/>
      <w:type w:val="continuous"/>
      <w:pgSz w:w="11907" w:h="16840" w:code="9"/>
      <w:pgMar w:top="851" w:right="1418" w:bottom="998"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ED" w14:paraId="30717804" w14:textId="77777777">
    <w:pPr>
      <w:pStyle w:val="Footer"/>
      <w:rPr>
        <w:color w:val="000080"/>
        <w:sz w:val="16"/>
      </w:rPr>
    </w:pPr>
    <w:r>
      <w:rPr>
        <w:color w:val="000080"/>
        <w:sz w:val="16"/>
      </w:rPr>
      <w:fldChar w:fldCharType="begin" w:fldLock="1"/>
    </w:r>
    <w:r>
      <w:rPr>
        <w:color w:val="000080"/>
        <w:sz w:val="16"/>
      </w:rPr>
      <w:instrText xml:space="preserve"> DOCPROPERTY EK_Bedriftsnavn </w:instrText>
    </w:r>
    <w:r>
      <w:rPr>
        <w:color w:val="000080"/>
        <w:sz w:val="16"/>
      </w:rPr>
      <w:fldChar w:fldCharType="separate"/>
    </w:r>
    <w:r>
      <w:rPr>
        <w:color w:val="000080"/>
        <w:sz w:val="16"/>
      </w:rPr>
      <w:t>Nordland fylkeskommune</w:t>
    </w:r>
    <w:r>
      <w:rPr>
        <w:color w:val="000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ED" w14:paraId="30717805" w14:textId="77777777">
    <w:pPr>
      <w:pStyle w:val="Footer"/>
      <w:rPr>
        <w:color w:val="000080"/>
        <w:sz w:val="12"/>
      </w:rPr>
    </w:pPr>
    <w:r>
      <w:rPr>
        <w:noProof/>
      </w:rPr>
      <w:drawing>
        <wp:inline distT="0" distB="0" distL="0" distR="0">
          <wp:extent cx="5707380" cy="275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7380" cy="27559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ED" w14:paraId="30717807" w14:textId="77777777">
    <w:pPr>
      <w:pStyle w:val="Footer"/>
    </w:pPr>
    <w:r>
      <w:rPr>
        <w:noProof/>
      </w:rPr>
      <w:drawing>
        <wp:inline distT="0" distB="0" distL="0" distR="0">
          <wp:extent cx="5888355" cy="27559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355" cy="27559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585"/>
      <w:gridCol w:w="567"/>
      <w:gridCol w:w="1920"/>
    </w:tblGrid>
    <w:tr w14:paraId="307177FE" w14:textId="77777777" w:rsidTr="00554977">
      <w:tblPrEx>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rPr>
        <w:cantSplit/>
      </w:trPr>
      <w:tc>
        <w:tcPr>
          <w:tcW w:w="6585" w:type="dxa"/>
          <w:vMerge w:val="restart"/>
          <w:vAlign w:val="center"/>
        </w:tcPr>
        <w:p w:rsidR="00554977" w:rsidRPr="00B60AD3" w14:paraId="307177FB" w14:textId="77777777">
          <w:pPr>
            <w:rPr>
              <w:rFonts w:ascii="Arial" w:hAnsi="Arial" w:cs="Arial"/>
              <w:color w:val="0082A3"/>
              <w:sz w:val="28"/>
            </w:rPr>
          </w:pPr>
          <w:r w:rsidRPr="00B60AD3">
            <w:rPr>
              <w:rFonts w:ascii="Arial" w:hAnsi="Arial" w:cs="Arial"/>
              <w:b/>
              <w:color w:val="0082A3"/>
              <w:sz w:val="28"/>
            </w:rPr>
            <w:fldChar w:fldCharType="begin" w:fldLock="1"/>
          </w:r>
          <w:r w:rsidRPr="00B60AD3">
            <w:rPr>
              <w:rFonts w:ascii="Arial" w:hAnsi="Arial" w:cs="Arial"/>
              <w:b/>
              <w:color w:val="0082A3"/>
              <w:sz w:val="28"/>
            </w:rPr>
            <w:instrText>DOCPROPERTY EK_doktittel</w:instrText>
          </w:r>
          <w:r w:rsidRPr="00B60AD3">
            <w:rPr>
              <w:rFonts w:ascii="Arial" w:hAnsi="Arial" w:cs="Arial"/>
              <w:b/>
              <w:color w:val="0082A3"/>
              <w:sz w:val="28"/>
            </w:rPr>
            <w:fldChar w:fldCharType="separate"/>
          </w:r>
          <w:r w:rsidRPr="00B60AD3">
            <w:rPr>
              <w:rFonts w:ascii="Arial" w:hAnsi="Arial" w:cs="Arial"/>
              <w:b/>
              <w:color w:val="0082A3"/>
              <w:sz w:val="28"/>
            </w:rPr>
            <w:t>Håndbok for folkevalgte i Nordland fylkeskommune</w:t>
          </w:r>
          <w:r w:rsidRPr="00B60AD3">
            <w:rPr>
              <w:rFonts w:ascii="Arial" w:hAnsi="Arial" w:cs="Arial"/>
              <w:b/>
              <w:color w:val="0082A3"/>
              <w:sz w:val="28"/>
            </w:rPr>
            <w:fldChar w:fldCharType="end"/>
          </w:r>
        </w:p>
      </w:tc>
      <w:tc>
        <w:tcPr>
          <w:tcW w:w="567" w:type="dxa"/>
        </w:tcPr>
        <w:p w:rsidR="00554977" w:rsidRPr="00B60AD3" w14:paraId="307177FC" w14:textId="77777777">
          <w:pPr>
            <w:tabs>
              <w:tab w:val="left" w:pos="497"/>
            </w:tabs>
            <w:rPr>
              <w:rFonts w:ascii="Arial" w:hAnsi="Arial" w:cs="Arial"/>
              <w:color w:val="0082A3"/>
              <w:sz w:val="16"/>
              <w:szCs w:val="18"/>
              <w:lang w:val="de-DE"/>
            </w:rPr>
          </w:pPr>
          <w:r w:rsidRPr="00B60AD3">
            <w:rPr>
              <w:rFonts w:ascii="Arial" w:hAnsi="Arial" w:cs="Arial"/>
              <w:b/>
              <w:bCs/>
              <w:sz w:val="16"/>
              <w:szCs w:val="18"/>
            </w:rPr>
            <w:t>ID</w:t>
          </w:r>
        </w:p>
      </w:tc>
      <w:tc>
        <w:tcPr>
          <w:tcW w:w="1920" w:type="dxa"/>
        </w:tcPr>
        <w:p w:rsidR="00554977" w:rsidRPr="00B60AD3" w:rsidP="00554977" w14:paraId="307177FD" w14:textId="77777777">
          <w:pPr>
            <w:tabs>
              <w:tab w:val="left" w:pos="497"/>
            </w:tabs>
            <w:rPr>
              <w:rFonts w:ascii="Arial" w:hAnsi="Arial" w:cs="Arial"/>
              <w:b/>
              <w:color w:val="000080"/>
              <w:sz w:val="16"/>
              <w:szCs w:val="18"/>
            </w:rPr>
          </w:pPr>
          <w:r w:rsidRPr="00B60AD3">
            <w:rPr>
              <w:rFonts w:ascii="Arial" w:hAnsi="Arial" w:cs="Arial"/>
              <w:b/>
              <w:color w:val="0082A3"/>
              <w:sz w:val="16"/>
              <w:szCs w:val="18"/>
            </w:rPr>
            <w:fldChar w:fldCharType="begin" w:fldLock="1"/>
          </w:r>
          <w:r w:rsidRPr="00B60AD3">
            <w:rPr>
              <w:rFonts w:ascii="Arial" w:hAnsi="Arial" w:cs="Arial"/>
              <w:b/>
              <w:color w:val="0082A3"/>
              <w:sz w:val="16"/>
              <w:szCs w:val="18"/>
            </w:rPr>
            <w:instrText xml:space="preserve"> DOCPROPERTY EK_DokumentID </w:instrText>
          </w:r>
          <w:r w:rsidRPr="00B60AD3">
            <w:rPr>
              <w:rFonts w:ascii="Arial" w:hAnsi="Arial" w:cs="Arial"/>
              <w:b/>
              <w:color w:val="0082A3"/>
              <w:sz w:val="16"/>
              <w:szCs w:val="18"/>
            </w:rPr>
            <w:fldChar w:fldCharType="separate"/>
          </w:r>
          <w:r w:rsidRPr="00B60AD3">
            <w:rPr>
              <w:rFonts w:ascii="Arial" w:hAnsi="Arial" w:cs="Arial"/>
              <w:b/>
              <w:color w:val="0082A3"/>
              <w:sz w:val="16"/>
              <w:szCs w:val="18"/>
            </w:rPr>
            <w:t>D16884</w:t>
          </w:r>
          <w:r w:rsidRPr="00B60AD3">
            <w:rPr>
              <w:rFonts w:ascii="Arial" w:hAnsi="Arial" w:cs="Arial"/>
              <w:b/>
              <w:color w:val="0082A3"/>
              <w:sz w:val="16"/>
              <w:szCs w:val="18"/>
            </w:rPr>
            <w:fldChar w:fldCharType="end"/>
          </w:r>
        </w:p>
      </w:tc>
    </w:tr>
    <w:tr w14:paraId="30717802" w14:textId="77777777" w:rsidTr="00554977">
      <w:tblPrEx>
        <w:tblW w:w="9072" w:type="dxa"/>
        <w:tblInd w:w="70" w:type="dxa"/>
        <w:tblLayout w:type="fixed"/>
        <w:tblCellMar>
          <w:left w:w="70" w:type="dxa"/>
          <w:right w:w="70" w:type="dxa"/>
        </w:tblCellMar>
        <w:tblLook w:val="0000"/>
      </w:tblPrEx>
      <w:trPr>
        <w:cantSplit/>
      </w:trPr>
      <w:tc>
        <w:tcPr>
          <w:tcW w:w="6585" w:type="dxa"/>
          <w:vMerge/>
          <w:vAlign w:val="center"/>
        </w:tcPr>
        <w:p w:rsidR="00554977" w14:paraId="307177FF" w14:textId="77777777">
          <w:pPr>
            <w:rPr>
              <w:rFonts w:ascii="Verdana" w:hAnsi="Verdana"/>
              <w:b/>
              <w:color w:val="0082A3"/>
              <w:sz w:val="28"/>
            </w:rPr>
          </w:pPr>
        </w:p>
      </w:tc>
      <w:tc>
        <w:tcPr>
          <w:tcW w:w="567" w:type="dxa"/>
        </w:tcPr>
        <w:p w:rsidR="00554977" w:rsidRPr="00B60AD3" w14:paraId="30717800" w14:textId="77777777">
          <w:pPr>
            <w:tabs>
              <w:tab w:val="left" w:pos="497"/>
            </w:tabs>
            <w:rPr>
              <w:rFonts w:ascii="Arial" w:hAnsi="Arial" w:cs="Arial"/>
              <w:b/>
              <w:bCs/>
              <w:sz w:val="16"/>
              <w:szCs w:val="18"/>
            </w:rPr>
          </w:pPr>
          <w:r w:rsidRPr="00B60AD3">
            <w:rPr>
              <w:rFonts w:ascii="Arial" w:hAnsi="Arial" w:cs="Arial"/>
              <w:sz w:val="16"/>
              <w:szCs w:val="18"/>
            </w:rPr>
            <w:t>Ver.</w:t>
          </w:r>
        </w:p>
      </w:tc>
      <w:tc>
        <w:tcPr>
          <w:tcW w:w="1920" w:type="dxa"/>
        </w:tcPr>
        <w:p w:rsidR="00554977" w:rsidRPr="00B60AD3" w:rsidP="00554977" w14:paraId="30717801" w14:textId="77777777">
          <w:pPr>
            <w:tabs>
              <w:tab w:val="left" w:pos="497"/>
            </w:tabs>
            <w:rPr>
              <w:rFonts w:ascii="Arial" w:hAnsi="Arial" w:cs="Arial"/>
              <w:color w:val="0082A3"/>
              <w:sz w:val="16"/>
              <w:szCs w:val="18"/>
              <w:lang w:val="de-DE"/>
            </w:rPr>
          </w:pPr>
          <w:r w:rsidRPr="00B60AD3">
            <w:rPr>
              <w:rFonts w:ascii="Arial" w:hAnsi="Arial" w:cs="Arial"/>
              <w:color w:val="0082A3"/>
              <w:sz w:val="16"/>
              <w:szCs w:val="18"/>
            </w:rPr>
            <w:fldChar w:fldCharType="begin" w:fldLock="1"/>
          </w:r>
          <w:r w:rsidRPr="00B60AD3">
            <w:rPr>
              <w:rFonts w:ascii="Arial" w:hAnsi="Arial" w:cs="Arial"/>
              <w:color w:val="0082A3"/>
              <w:sz w:val="16"/>
              <w:szCs w:val="18"/>
            </w:rPr>
            <w:instrText xml:space="preserve"> DOCPROPERTY EK_Utgave </w:instrText>
          </w:r>
          <w:r w:rsidRPr="00B60AD3">
            <w:rPr>
              <w:rFonts w:ascii="Arial" w:hAnsi="Arial" w:cs="Arial"/>
              <w:color w:val="0082A3"/>
              <w:sz w:val="16"/>
              <w:szCs w:val="18"/>
            </w:rPr>
            <w:fldChar w:fldCharType="separate"/>
          </w:r>
          <w:r w:rsidRPr="00B60AD3">
            <w:rPr>
              <w:rFonts w:ascii="Arial" w:hAnsi="Arial" w:cs="Arial"/>
              <w:color w:val="0082A3"/>
              <w:sz w:val="16"/>
              <w:szCs w:val="18"/>
            </w:rPr>
            <w:t>1.00</w:t>
          </w:r>
          <w:r w:rsidRPr="00B60AD3">
            <w:rPr>
              <w:rFonts w:ascii="Arial" w:hAnsi="Arial" w:cs="Arial"/>
              <w:color w:val="0082A3"/>
              <w:sz w:val="16"/>
              <w:szCs w:val="18"/>
            </w:rPr>
            <w:fldChar w:fldCharType="end"/>
          </w:r>
        </w:p>
      </w:tc>
    </w:tr>
  </w:tbl>
  <w:p w:rsidR="00950BED" w:rsidRPr="00B60AD3" w14:paraId="30717803" w14:textId="77777777">
    <w:pPr>
      <w:jc w:val="right"/>
      <w:rPr>
        <w:rFonts w:ascii="Arial" w:hAnsi="Arial" w:cs="Arial"/>
        <w:sz w:val="22"/>
        <w:szCs w:val="18"/>
      </w:rPr>
    </w:pPr>
    <w:r w:rsidRPr="00B60AD3">
      <w:rPr>
        <w:rFonts w:ascii="Arial" w:hAnsi="Arial" w:cs="Arial"/>
        <w:sz w:val="16"/>
        <w:szCs w:val="18"/>
      </w:rPr>
      <w:t xml:space="preserve">Side: </w:t>
    </w:r>
    <w:r w:rsidRPr="00B60AD3">
      <w:rPr>
        <w:rFonts w:ascii="Arial" w:hAnsi="Arial" w:cs="Arial"/>
        <w:sz w:val="16"/>
        <w:szCs w:val="18"/>
      </w:rPr>
      <w:fldChar w:fldCharType="begin"/>
    </w:r>
    <w:r w:rsidRPr="00B60AD3">
      <w:rPr>
        <w:rFonts w:ascii="Arial" w:hAnsi="Arial" w:cs="Arial"/>
        <w:sz w:val="16"/>
        <w:szCs w:val="18"/>
      </w:rPr>
      <w:instrText xml:space="preserve">PAGE </w:instrText>
    </w:r>
    <w:r w:rsidRPr="00B60AD3">
      <w:rPr>
        <w:rFonts w:ascii="Arial" w:hAnsi="Arial" w:cs="Arial"/>
        <w:sz w:val="16"/>
        <w:szCs w:val="18"/>
      </w:rPr>
      <w:fldChar w:fldCharType="separate"/>
    </w:r>
    <w:r w:rsidRPr="00B60AD3">
      <w:rPr>
        <w:rFonts w:ascii="Arial" w:hAnsi="Arial" w:cs="Arial"/>
        <w:sz w:val="16"/>
        <w:szCs w:val="18"/>
      </w:rPr>
      <w:t>5</w:t>
    </w:r>
    <w:r w:rsidRPr="00B60AD3">
      <w:rPr>
        <w:rFonts w:ascii="Arial" w:hAnsi="Arial" w:cs="Arial"/>
        <w:sz w:val="16"/>
        <w:szCs w:val="18"/>
      </w:rPr>
      <w:fldChar w:fldCharType="end"/>
    </w:r>
    <w:r w:rsidRPr="00B60AD3">
      <w:rPr>
        <w:rFonts w:ascii="Arial" w:hAnsi="Arial" w:cs="Arial"/>
        <w:sz w:val="16"/>
        <w:szCs w:val="18"/>
      </w:rPr>
      <w:t xml:space="preserve"> av </w:t>
    </w:r>
    <w:r w:rsidRPr="00B60AD3">
      <w:rPr>
        <w:rFonts w:ascii="Arial" w:hAnsi="Arial" w:cs="Arial"/>
        <w:sz w:val="16"/>
        <w:szCs w:val="18"/>
      </w:rPr>
      <w:fldChar w:fldCharType="begin"/>
    </w:r>
    <w:r w:rsidRPr="00B60AD3">
      <w:rPr>
        <w:rFonts w:ascii="Arial" w:hAnsi="Arial" w:cs="Arial"/>
        <w:sz w:val="16"/>
        <w:szCs w:val="18"/>
      </w:rPr>
      <w:instrText>NUMPAGES</w:instrText>
    </w:r>
    <w:r w:rsidRPr="00B60AD3">
      <w:rPr>
        <w:rFonts w:ascii="Arial" w:hAnsi="Arial" w:cs="Arial"/>
        <w:sz w:val="16"/>
        <w:szCs w:val="18"/>
      </w:rPr>
      <w:fldChar w:fldCharType="separate"/>
    </w:r>
    <w:r w:rsidRPr="00B60AD3">
      <w:rPr>
        <w:rFonts w:ascii="Arial" w:hAnsi="Arial" w:cs="Arial"/>
        <w:sz w:val="16"/>
        <w:szCs w:val="18"/>
      </w:rPr>
      <w:t>5</w:t>
    </w:r>
    <w:r w:rsidRPr="00B60AD3">
      <w:rPr>
        <w:rFonts w:ascii="Arial" w:hAnsi="Arial" w:cs="Arial"/>
        <w:sz w:val="16"/>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5C1420"/>
    <w:multiLevelType w:val="hybridMultilevel"/>
    <w:tmpl w:val="96C0B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117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AF"/>
    <w:rsid w:val="000246A8"/>
    <w:rsid w:val="00035BD7"/>
    <w:rsid w:val="00056148"/>
    <w:rsid w:val="00067905"/>
    <w:rsid w:val="00071546"/>
    <w:rsid w:val="000774B6"/>
    <w:rsid w:val="000B5037"/>
    <w:rsid w:val="00110274"/>
    <w:rsid w:val="001269F6"/>
    <w:rsid w:val="0017482A"/>
    <w:rsid w:val="00197632"/>
    <w:rsid w:val="001B4300"/>
    <w:rsid w:val="001C1B32"/>
    <w:rsid w:val="002066C1"/>
    <w:rsid w:val="00221F30"/>
    <w:rsid w:val="002756E6"/>
    <w:rsid w:val="00294CA4"/>
    <w:rsid w:val="002D2189"/>
    <w:rsid w:val="002F3AFA"/>
    <w:rsid w:val="003157F4"/>
    <w:rsid w:val="00321798"/>
    <w:rsid w:val="00355436"/>
    <w:rsid w:val="00377D2C"/>
    <w:rsid w:val="00393257"/>
    <w:rsid w:val="00421682"/>
    <w:rsid w:val="00473CC8"/>
    <w:rsid w:val="004A1573"/>
    <w:rsid w:val="004A7C7D"/>
    <w:rsid w:val="004B58C7"/>
    <w:rsid w:val="00504CA8"/>
    <w:rsid w:val="005454FA"/>
    <w:rsid w:val="00554977"/>
    <w:rsid w:val="00577D7C"/>
    <w:rsid w:val="0058591B"/>
    <w:rsid w:val="006826F6"/>
    <w:rsid w:val="00695D18"/>
    <w:rsid w:val="006C5E8F"/>
    <w:rsid w:val="006D3E21"/>
    <w:rsid w:val="006E567A"/>
    <w:rsid w:val="007772E0"/>
    <w:rsid w:val="0083640A"/>
    <w:rsid w:val="00851BF7"/>
    <w:rsid w:val="00887D35"/>
    <w:rsid w:val="00923DCA"/>
    <w:rsid w:val="0093141F"/>
    <w:rsid w:val="00950BED"/>
    <w:rsid w:val="00980D3A"/>
    <w:rsid w:val="009A5F19"/>
    <w:rsid w:val="00A067D0"/>
    <w:rsid w:val="00A70B93"/>
    <w:rsid w:val="00B04A20"/>
    <w:rsid w:val="00B60AD3"/>
    <w:rsid w:val="00BE28FF"/>
    <w:rsid w:val="00C669AF"/>
    <w:rsid w:val="00CC295F"/>
    <w:rsid w:val="00CD693E"/>
    <w:rsid w:val="00CF2430"/>
    <w:rsid w:val="00D477BC"/>
    <w:rsid w:val="00D54614"/>
    <w:rsid w:val="00D57DFB"/>
    <w:rsid w:val="00DB51ED"/>
    <w:rsid w:val="00DE6341"/>
    <w:rsid w:val="00DE6AE8"/>
    <w:rsid w:val="00E45979"/>
    <w:rsid w:val="00E80608"/>
    <w:rsid w:val="00E854C9"/>
    <w:rsid w:val="00F03C5A"/>
    <w:rsid w:val="00F424C9"/>
    <w:rsid w:val="00F71544"/>
    <w:rsid w:val="00F81D19"/>
    <w:rsid w:val="00FC5B5B"/>
    <w:rsid w:val="00FF2C24"/>
    <w:rsid w:val="00FF4195"/>
  </w:rsids>
  <w:docVars>
    <w:docVar w:name="Avdeling" w:val="lab_avdeling"/>
    <w:docVar w:name="Avsnitt" w:val="lab_avsnitt"/>
    <w:docVar w:name="Bedriftsnavn" w:val="Bodin Videregående Skole og Maritime Fagskole"/>
    <w:docVar w:name="beskyttet" w:val="nei"/>
    <w:docVar w:name="docver" w:val="2.20"/>
    <w:docVar w:name="EksRef" w:val="[EksRef]"/>
    <w:docVar w:name="ek_dbfields" w:val="EK_Avdeling¤2#4¤2#[Avdeling]¤3#EK_Avsnitt¤2#4¤2#[Avsnitt]¤3#EK_Bedriftsnavn¤2#1¤2#Nordland fylkeskommune¤3#EK_GjelderFra¤2#0¤2#[GjelderFra]¤3#EK_Opprettet¤2#0¤2#[Opprettet]¤3#EK_Utgitt¤2#0¤2#[Utgitt]¤3#EK_IBrukDato¤2#0¤2#[Endret]¤3#EK_DokumentID¤2#0¤2#[ID]¤3#EK_DokTittel¤2#0¤2#Nfk standardma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Utarbeidet av]¤3#EK_DokAnsvNavn¤2#0¤2#[Verifisert av]¤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ktittel" w:val="Nfk standardmal"/>
    <w:docVar w:name="ek_endrfields" w:val="EK_Rapport¤1#"/>
    <w:docVar w:name="ek_format" w:val="-10"/>
    <w:docVar w:name="ek_ibrukdato" w:val="[Endret]"/>
    <w:docVar w:name="ek_rapport" w:val="[Tilknyttet rapport]"/>
    <w:docVar w:name="ek_s00mt2|§" w:val="[ ]"/>
    <w:docVar w:name="ek_superstikkord" w:val="[SuperStikkord]"/>
    <w:docVar w:name="EK_TYPE" w:val="MAL"/>
    <w:docVar w:name="Erstatter" w:val="lab_erstatter"/>
    <w:docVar w:name="KHB" w:val="nei"/>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07177CC"/>
  <w15:docId w15:val="{A3006A8A-DC0A-4C14-A524-04FEF58B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rFonts w:ascii="Verdana" w:hAnsi="Verdana"/>
      <w:b/>
      <w:color w:val="0082A3"/>
      <w:sz w:val="28"/>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rPr>
      <w:b/>
      <w:bCs/>
    </w:rPr>
  </w:style>
  <w:style w:type="paragraph" w:styleId="BalloonText">
    <w:name w:val="Balloon Text"/>
    <w:basedOn w:val="Normal"/>
    <w:link w:val="BobletekstTegn"/>
    <w:uiPriority w:val="99"/>
    <w:semiHidden/>
    <w:unhideWhenUsed/>
    <w:rsid w:val="004A7C7D"/>
    <w:rPr>
      <w:rFonts w:ascii="Tahoma" w:hAnsi="Tahoma" w:cs="Tahoma"/>
      <w:sz w:val="16"/>
      <w:szCs w:val="16"/>
    </w:rPr>
  </w:style>
  <w:style w:type="character" w:customStyle="1" w:styleId="BobletekstTegn">
    <w:name w:val="Bobletekst Tegn"/>
    <w:basedOn w:val="DefaultParagraphFont"/>
    <w:link w:val="BalloonText"/>
    <w:uiPriority w:val="99"/>
    <w:semiHidden/>
    <w:rsid w:val="004A7C7D"/>
    <w:rPr>
      <w:rFonts w:ascii="Tahoma" w:hAnsi="Tahoma" w:cs="Tahoma"/>
      <w:sz w:val="16"/>
      <w:szCs w:val="16"/>
    </w:rPr>
  </w:style>
  <w:style w:type="paragraph" w:styleId="ListParagraph">
    <w:name w:val="List Paragraph"/>
    <w:basedOn w:val="Normal"/>
    <w:uiPriority w:val="34"/>
    <w:qFormat/>
    <w:rsid w:val="002D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footer3.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INOLU\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Template>
  <TotalTime>15</TotalTime>
  <Pages>5</Pages>
  <Words>1274</Words>
  <Characters>8272</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Nfk standardmal</vt:lpstr>
      <vt:lpstr>Standard</vt:lpstr>
    </vt:vector>
  </TitlesOfParts>
  <Company>Datakvalitet</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Håndbok for folkevalgte i Nordland fylkeskommune</dc:title>
  <dc:subject>Nfk standardmal|[RefNr]|</dc:subject>
  <dc:creator>Handbok</dc:creator>
  <cp:lastModifiedBy>Eva Holmvaag</cp:lastModifiedBy>
  <cp:revision>12</cp:revision>
  <dcterms:created xsi:type="dcterms:W3CDTF">2021-08-19T13:41:00Z</dcterms:created>
  <dcterms:modified xsi:type="dcterms:W3CDTF">2024-09-25T14:08:00Z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Nordland fylkeskommune</vt:lpwstr>
  </property>
  <property fmtid="{D5CDD505-2E9C-101B-9397-08002B2CF9AE}" pid="3" name="EK_DokTittel">
    <vt:lpwstr>Håndbok for folkevalgte i Nordland fylkeskommune</vt:lpwstr>
  </property>
  <property fmtid="{D5CDD505-2E9C-101B-9397-08002B2CF9AE}" pid="4" name="EK_DokumentID">
    <vt:lpwstr>D16884</vt:lpwstr>
  </property>
  <property fmtid="{D5CDD505-2E9C-101B-9397-08002B2CF9AE}" pid="5" name="EK_GjelderFra">
    <vt:lpwstr>07.01.2026</vt:lpwstr>
  </property>
  <property fmtid="{D5CDD505-2E9C-101B-9397-08002B2CF9AE}" pid="6" name="EK_S00MT2|§">
    <vt:lpwstr>Ansvar og organisasjon</vt:lpwstr>
  </property>
  <property fmtid="{D5CDD505-2E9C-101B-9397-08002B2CF9AE}" pid="7" name="EK_Signatur">
    <vt:lpwstr>Lise Karin Wærnes Nilsen</vt:lpwstr>
  </property>
  <property fmtid="{D5CDD505-2E9C-101B-9397-08002B2CF9AE}" pid="8" name="EK_SkrevetAv">
    <vt:lpwstr>Fylkestingets sekretariat</vt:lpwstr>
  </property>
  <property fmtid="{D5CDD505-2E9C-101B-9397-08002B2CF9AE}" pid="9" name="EK_Utgave">
    <vt:lpwstr>1.00</vt:lpwstr>
  </property>
  <property fmtid="{D5CDD505-2E9C-101B-9397-08002B2CF9AE}" pid="10" name="EK_Watermark">
    <vt:lpwstr>Vannmerke</vt:lpwstr>
  </property>
</Properties>
</file>