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79D32920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79D3291C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79D3291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50BED" w14:paraId="79D3291E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79D3291F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E34C5D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E34C5D">
              <w:rPr>
                <w:rFonts w:ascii="Verdana" w:hAnsi="Verdana"/>
                <w:b/>
                <w:bCs/>
                <w:color w:val="0082A3"/>
                <w:sz w:val="16"/>
              </w:rPr>
              <w:t>D12319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79D32925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79D32921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79D32922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79D32923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79D32924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9D3292A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79D32926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79D32927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79D32928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79D32929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21.08.2023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9D3292F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79D3292B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79D3292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79D3292D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79D3292E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Elisabeth Aune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79D32934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79D32930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79D32931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79D32932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79D32933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Anne-Grethe Mathisen Døvik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9D32937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8C5025" w14:paraId="79D32935" w14:textId="77777777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End w:id="0"/>
          </w:p>
        </w:tc>
        <w:tc>
          <w:tcPr>
            <w:tcW w:w="1134" w:type="dxa"/>
            <w:vAlign w:val="center"/>
          </w:tcPr>
          <w:p w:rsidR="00577D7C" w:rsidRPr="00577D7C" w:rsidP="00577D7C" w14:paraId="79D32936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951BF8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951BF8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79D3293A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79D32938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Avtale fremmedspråk som privatist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79D32939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79D3293B" w14:textId="77777777">
      <w:pPr>
        <w:ind w:left="2127" w:hanging="2127"/>
      </w:pPr>
      <w:r>
        <w:rPr>
          <w:b/>
          <w:bCs/>
        </w:rPr>
        <w:tab/>
      </w:r>
    </w:p>
    <w:p w:rsidR="00950BED" w14:paraId="79D3293C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79D3293F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404177" w14:paraId="79D3293D" w14:textId="44984661">
            <w:pPr>
              <w:rPr>
                <w:rFonts w:ascii="Verdana" w:hAnsi="Verdana"/>
                <w:bCs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Formål</w:t>
            </w:r>
            <w:r w:rsidR="00404177">
              <w:rPr>
                <w:rFonts w:ascii="Verdana" w:hAnsi="Verdana"/>
                <w:b/>
                <w:sz w:val="20"/>
              </w:rPr>
              <w:br/>
            </w:r>
            <w:r w:rsidR="00404177">
              <w:rPr>
                <w:rFonts w:ascii="Verdana" w:hAnsi="Verdana"/>
                <w:bCs/>
                <w:sz w:val="20"/>
              </w:rPr>
              <w:t xml:space="preserve">Gi </w:t>
            </w:r>
            <w:r w:rsidR="0007340C">
              <w:rPr>
                <w:rFonts w:ascii="Verdana" w:hAnsi="Verdana"/>
                <w:bCs/>
                <w:sz w:val="20"/>
              </w:rPr>
              <w:t xml:space="preserve">flerspråklige </w:t>
            </w:r>
            <w:r w:rsidR="00404177">
              <w:rPr>
                <w:rFonts w:ascii="Verdana" w:hAnsi="Verdana"/>
                <w:bCs/>
                <w:sz w:val="20"/>
              </w:rPr>
              <w:t>elever med annet morsmål enn norsk</w:t>
            </w:r>
            <w:r w:rsidR="00366813">
              <w:rPr>
                <w:rFonts w:ascii="Verdana" w:hAnsi="Verdana"/>
                <w:bCs/>
                <w:sz w:val="20"/>
              </w:rPr>
              <w:t>/svensk/dansk/</w:t>
            </w:r>
            <w:r w:rsidR="00404177">
              <w:rPr>
                <w:rFonts w:ascii="Verdana" w:hAnsi="Verdana"/>
                <w:bCs/>
                <w:sz w:val="20"/>
              </w:rPr>
              <w:t xml:space="preserve">samisk muligheten til å </w:t>
            </w:r>
            <w:r w:rsidR="00366813">
              <w:rPr>
                <w:rFonts w:ascii="Verdana" w:hAnsi="Verdana"/>
                <w:bCs/>
                <w:sz w:val="20"/>
              </w:rPr>
              <w:t>erstatte det obligatoriske fellesfaget fremmedspråk med privatisteksamen i ett fremmedspråk som skolen ikke tilbyr undervisning i.</w:t>
            </w:r>
          </w:p>
          <w:p w:rsidR="00BE28FF" w:rsidRPr="00DE6341" w14:paraId="79D3293E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9D32942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404177" w14:paraId="79D32940" w14:textId="62ECC174">
            <w:pPr>
              <w:rPr>
                <w:rFonts w:ascii="Verdana" w:hAnsi="Verdana"/>
                <w:bCs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Omfang</w:t>
            </w:r>
            <w:r w:rsidR="00404177">
              <w:rPr>
                <w:rFonts w:ascii="Verdana" w:hAnsi="Verdana"/>
                <w:b/>
                <w:sz w:val="20"/>
              </w:rPr>
              <w:br/>
            </w:r>
            <w:r w:rsidR="00176496">
              <w:rPr>
                <w:rFonts w:ascii="Verdana" w:hAnsi="Verdana"/>
                <w:bCs/>
                <w:sz w:val="20"/>
              </w:rPr>
              <w:t>Omhandler elever på studieforberedende utdanningsprogram med krav om fellesfag fremmedspråk.</w:t>
            </w:r>
          </w:p>
          <w:p w:rsidR="00BE28FF" w:rsidRPr="00DE6341" w14:paraId="79D32941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9D32945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404177" w14:paraId="79D32943" w14:textId="77777777">
            <w:pPr>
              <w:rPr>
                <w:rFonts w:ascii="Verdana" w:hAnsi="Verdana"/>
                <w:bCs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Ansvar</w:t>
            </w:r>
            <w:r w:rsidR="00404177">
              <w:rPr>
                <w:rFonts w:ascii="Verdana" w:hAnsi="Verdana"/>
                <w:b/>
                <w:sz w:val="20"/>
              </w:rPr>
              <w:br/>
            </w:r>
            <w:r w:rsidR="00404177">
              <w:rPr>
                <w:rFonts w:ascii="Verdana" w:hAnsi="Verdana"/>
                <w:bCs/>
                <w:sz w:val="20"/>
              </w:rPr>
              <w:t xml:space="preserve">Avdelingsleder for studieforberedende program, eller den rektor tildeler </w:t>
            </w:r>
            <w:r w:rsidR="000C1F18">
              <w:rPr>
                <w:rFonts w:ascii="Verdana" w:hAnsi="Verdana"/>
                <w:bCs/>
                <w:sz w:val="20"/>
              </w:rPr>
              <w:t>ansvaret</w:t>
            </w:r>
            <w:r w:rsidR="00404177">
              <w:rPr>
                <w:rFonts w:ascii="Verdana" w:hAnsi="Verdana"/>
                <w:bCs/>
                <w:sz w:val="20"/>
              </w:rPr>
              <w:t>.</w:t>
            </w:r>
          </w:p>
          <w:p w:rsidR="00BE28FF" w:rsidRPr="00DE6341" w14:paraId="79D32944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9D3294B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14:paraId="79D32946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Handling</w:t>
            </w:r>
          </w:p>
          <w:p w:rsidR="00BE28FF" w:rsidP="0055044A" w14:paraId="0BF5FD0C" w14:textId="7777777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Elever som faller inn under kategori beskrevet i omfang, må orienteres om muligheten til å </w:t>
            </w:r>
            <w:r w:rsidR="00366813">
              <w:rPr>
                <w:rFonts w:ascii="Verdana" w:hAnsi="Verdana"/>
                <w:bCs/>
                <w:sz w:val="20"/>
              </w:rPr>
              <w:t>erstatte obligatorisk fellesfag fremmedspråk med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</w:rPr>
              <w:t>privatist</w:t>
            </w:r>
            <w:r w:rsidR="00366813">
              <w:rPr>
                <w:rFonts w:ascii="Verdana" w:hAnsi="Verdana"/>
                <w:bCs/>
                <w:sz w:val="20"/>
              </w:rPr>
              <w:t>eksamen</w:t>
            </w:r>
            <w:r>
              <w:rPr>
                <w:rFonts w:ascii="Verdana" w:hAnsi="Verdana"/>
                <w:bCs/>
                <w:sz w:val="20"/>
              </w:rPr>
              <w:t xml:space="preserve"> i </w:t>
            </w:r>
            <w:r>
              <w:rPr>
                <w:rFonts w:ascii="Verdana" w:hAnsi="Verdana"/>
                <w:bCs/>
                <w:sz w:val="20"/>
              </w:rPr>
              <w:t>fremmedspråk skolen</w:t>
            </w:r>
            <w:r w:rsidR="00366813">
              <w:rPr>
                <w:rFonts w:ascii="Verdana" w:hAnsi="Verdana"/>
                <w:bCs/>
                <w:sz w:val="20"/>
              </w:rPr>
              <w:t xml:space="preserve"> ikke </w:t>
            </w:r>
            <w:r>
              <w:rPr>
                <w:rFonts w:ascii="Verdana" w:hAnsi="Verdana"/>
                <w:bCs/>
                <w:sz w:val="20"/>
              </w:rPr>
              <w:t xml:space="preserve">tilbyr undervisning i. Om eleven ønsker å benytte seg av muligheten til å </w:t>
            </w:r>
            <w:r w:rsidR="0055044A">
              <w:rPr>
                <w:rFonts w:ascii="Verdana" w:hAnsi="Verdana"/>
                <w:bCs/>
                <w:sz w:val="20"/>
              </w:rPr>
              <w:t>slutte i fellesfaget fremmedspråk og erstatte dette med</w:t>
            </w:r>
            <w:r>
              <w:rPr>
                <w:rFonts w:ascii="Verdana" w:hAnsi="Verdana"/>
                <w:bCs/>
                <w:sz w:val="20"/>
              </w:rPr>
              <w:t xml:space="preserve"> privatist</w:t>
            </w:r>
            <w:r w:rsidR="0055044A">
              <w:rPr>
                <w:rFonts w:ascii="Verdana" w:hAnsi="Verdana"/>
                <w:bCs/>
                <w:sz w:val="20"/>
              </w:rPr>
              <w:t>eksamen i annet fremmedspråk</w:t>
            </w:r>
            <w:r>
              <w:rPr>
                <w:rFonts w:ascii="Verdana" w:hAnsi="Verdana"/>
                <w:bCs/>
                <w:sz w:val="20"/>
              </w:rPr>
              <w:t xml:space="preserve"> skal digital avtale tegnes.</w:t>
            </w:r>
            <w:r w:rsidR="00AC324C">
              <w:rPr>
                <w:rFonts w:ascii="Verdana" w:hAnsi="Verdana"/>
                <w:bCs/>
                <w:sz w:val="20"/>
              </w:rPr>
              <w:t xml:space="preserve"> </w:t>
            </w:r>
          </w:p>
          <w:p w:rsidR="0055044A" w:rsidRPr="00DE6341" w:rsidP="0055044A" w14:paraId="79D3294A" w14:textId="7AF72D9F">
            <w:pPr>
              <w:rPr>
                <w:rFonts w:ascii="Verdana" w:hAnsi="Verdana"/>
                <w:sz w:val="20"/>
              </w:rPr>
            </w:pPr>
          </w:p>
        </w:tc>
      </w:tr>
      <w:tr w14:paraId="79D32951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14:paraId="79D3294C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Registreringer</w:t>
            </w:r>
          </w:p>
          <w:p w:rsidR="00404177" w14:paraId="79D3294D" w14:textId="5B17B278">
            <w:pPr>
              <w:rPr>
                <w:szCs w:val="24"/>
              </w:rPr>
            </w:pPr>
            <w:r w:rsidRPr="00AC324C">
              <w:rPr>
                <w:rFonts w:ascii="Verdana" w:hAnsi="Verdana"/>
                <w:bCs/>
                <w:sz w:val="20"/>
              </w:rPr>
              <w:t>Ansvarshavende</w:t>
            </w:r>
            <w:r>
              <w:rPr>
                <w:rFonts w:ascii="Verdana" w:hAnsi="Verdana"/>
                <w:bCs/>
                <w:sz w:val="20"/>
              </w:rPr>
              <w:t xml:space="preserve"> med tilgang til </w:t>
            </w:r>
            <w:r w:rsidR="00366813">
              <w:rPr>
                <w:rFonts w:ascii="Verdana" w:hAnsi="Verdana"/>
                <w:bCs/>
                <w:sz w:val="20"/>
              </w:rPr>
              <w:t>websak</w:t>
            </w:r>
            <w:r>
              <w:rPr>
                <w:rFonts w:ascii="Verdana" w:hAnsi="Verdana"/>
                <w:bCs/>
                <w:sz w:val="20"/>
              </w:rPr>
              <w:t xml:space="preserve"> tegner avtale med eleven. Digital avtale finnes på intranett, under personal, lederstøtte, hvor det er internt søknadssenter, </w:t>
            </w:r>
            <w:hyperlink r:id="rId5" w:history="1">
              <w:r w:rsidRPr="00893093">
                <w:rPr>
                  <w:rStyle w:val="Hyperlink"/>
                  <w:szCs w:val="24"/>
                </w:rPr>
                <w:t>https://intr</w:t>
              </w:r>
              <w:r w:rsidRPr="00893093">
                <w:rPr>
                  <w:rStyle w:val="Hyperlink"/>
                  <w:szCs w:val="24"/>
                </w:rPr>
                <w:t>a</w:t>
              </w:r>
              <w:r w:rsidRPr="00893093">
                <w:rPr>
                  <w:rStyle w:val="Hyperlink"/>
                  <w:szCs w:val="24"/>
                </w:rPr>
                <w:t>nett.nfk.no</w:t>
              </w:r>
              <w:r w:rsidRPr="00893093">
                <w:rPr>
                  <w:rStyle w:val="Hyperlink"/>
                  <w:szCs w:val="24"/>
                </w:rPr>
                <w:t>/personal/lederstotte/internt-soknadssenter/</w:t>
              </w:r>
            </w:hyperlink>
            <w:r>
              <w:rPr>
                <w:szCs w:val="24"/>
              </w:rPr>
              <w:t xml:space="preserve"> </w:t>
            </w:r>
          </w:p>
          <w:p w:rsidR="00AC324C" w14:paraId="79D3294E" w14:textId="4EE6CA83">
            <w:pPr>
              <w:rPr>
                <w:rFonts w:ascii="Segoe UI" w:hAnsi="Segoe UI" w:cs="Segoe UI"/>
                <w:sz w:val="20"/>
              </w:rPr>
            </w:pPr>
            <w:r w:rsidRPr="00AC324C">
              <w:rPr>
                <w:rFonts w:ascii="Verdana" w:hAnsi="Verdana"/>
                <w:bCs/>
                <w:sz w:val="20"/>
              </w:rPr>
              <w:t xml:space="preserve">Her er </w:t>
            </w:r>
            <w:r>
              <w:rPr>
                <w:rFonts w:ascii="Verdana" w:hAnsi="Verdana"/>
                <w:bCs/>
                <w:sz w:val="20"/>
              </w:rPr>
              <w:t xml:space="preserve">lenke direkte til avtalen: </w:t>
            </w:r>
            <w:hyperlink r:id="rId6" w:history="1">
              <w:r w:rsidR="00366813">
                <w:rPr>
                  <w:rStyle w:val="Hyperlink"/>
                </w:rPr>
                <w:t>Avtale om fremmedspråk som privatist (nfk.no)</w:t>
              </w:r>
            </w:hyperlink>
          </w:p>
          <w:p w:rsidR="00AC324C" w14:paraId="79D3294F" w14:textId="0868B5D9">
            <w:pPr>
              <w:rPr>
                <w:rFonts w:ascii="Verdana" w:hAnsi="Verdana" w:cs="Segoe UI"/>
                <w:bCs/>
                <w:sz w:val="20"/>
              </w:rPr>
            </w:pPr>
            <w:r w:rsidRPr="0047681C">
              <w:rPr>
                <w:rFonts w:ascii="Verdana" w:hAnsi="Verdana" w:cs="Segoe UI"/>
                <w:bCs/>
                <w:sz w:val="20"/>
              </w:rPr>
              <w:t xml:space="preserve">Når avtalen er fylt ut vil det </w:t>
            </w:r>
            <w:r w:rsidR="00366813">
              <w:rPr>
                <w:rFonts w:ascii="Verdana" w:hAnsi="Verdana" w:cs="Segoe UI"/>
                <w:bCs/>
                <w:sz w:val="20"/>
              </w:rPr>
              <w:t>sendes</w:t>
            </w:r>
            <w:r w:rsidRPr="0047681C">
              <w:rPr>
                <w:rFonts w:ascii="Verdana" w:hAnsi="Verdana" w:cs="Segoe UI"/>
                <w:bCs/>
                <w:sz w:val="20"/>
              </w:rPr>
              <w:t xml:space="preserve"> sms til eleven for digital signering. Når eleven har signert digitalt generere</w:t>
            </w:r>
            <w:r w:rsidR="00366813">
              <w:rPr>
                <w:rFonts w:ascii="Verdana" w:hAnsi="Verdana" w:cs="Segoe UI"/>
                <w:bCs/>
                <w:sz w:val="20"/>
              </w:rPr>
              <w:t xml:space="preserve"> det </w:t>
            </w:r>
            <w:r w:rsidRPr="0047681C">
              <w:rPr>
                <w:rFonts w:ascii="Verdana" w:hAnsi="Verdana" w:cs="Segoe UI"/>
                <w:bCs/>
                <w:sz w:val="20"/>
              </w:rPr>
              <w:t>til kontaktlærer</w:t>
            </w:r>
            <w:r w:rsidR="00366813">
              <w:rPr>
                <w:rFonts w:ascii="Verdana" w:hAnsi="Verdana" w:cs="Segoe UI"/>
                <w:bCs/>
                <w:sz w:val="20"/>
              </w:rPr>
              <w:t xml:space="preserve"> </w:t>
            </w:r>
            <w:r w:rsidRPr="0047681C">
              <w:rPr>
                <w:rFonts w:ascii="Verdana" w:hAnsi="Verdana" w:cs="Segoe UI"/>
                <w:bCs/>
                <w:sz w:val="20"/>
              </w:rPr>
              <w:t>med orientering om at avtale er signert.</w:t>
            </w:r>
            <w:r w:rsidRPr="0047681C" w:rsidR="008F45FB">
              <w:rPr>
                <w:rFonts w:ascii="Verdana" w:hAnsi="Verdana" w:cs="Segoe UI"/>
                <w:bCs/>
                <w:sz w:val="20"/>
              </w:rPr>
              <w:t xml:space="preserve"> Avtalen vil etter signering finnes i opplæringsmappen til eleven, med ansvarshavende som saksbehandler. Eksamensleder får kopi av kontrakten i </w:t>
            </w:r>
            <w:r w:rsidR="00366813">
              <w:rPr>
                <w:rFonts w:ascii="Verdana" w:hAnsi="Verdana" w:cs="Segoe UI"/>
                <w:bCs/>
                <w:sz w:val="20"/>
              </w:rPr>
              <w:t>websak</w:t>
            </w:r>
            <w:r w:rsidRPr="0047681C" w:rsidR="008F45FB">
              <w:rPr>
                <w:rFonts w:ascii="Verdana" w:hAnsi="Verdana" w:cs="Segoe UI"/>
                <w:bCs/>
                <w:sz w:val="20"/>
              </w:rPr>
              <w:t xml:space="preserve">, som fører fullførtkode og FAM i </w:t>
            </w:r>
            <w:r w:rsidR="0007340C">
              <w:rPr>
                <w:rFonts w:ascii="Verdana" w:hAnsi="Verdana" w:cs="Segoe UI"/>
                <w:bCs/>
                <w:sz w:val="20"/>
              </w:rPr>
              <w:t>det skoleadministrative systemet</w:t>
            </w:r>
            <w:r w:rsidR="0047681C">
              <w:rPr>
                <w:rFonts w:ascii="Verdana" w:hAnsi="Verdana" w:cs="Segoe UI"/>
                <w:bCs/>
                <w:sz w:val="20"/>
              </w:rPr>
              <w:t>,</w:t>
            </w:r>
            <w:r w:rsidRPr="0047681C" w:rsidR="008F45FB">
              <w:rPr>
                <w:rFonts w:ascii="Verdana" w:hAnsi="Verdana" w:cs="Segoe UI"/>
                <w:bCs/>
                <w:sz w:val="20"/>
              </w:rPr>
              <w:t xml:space="preserve"> i tråd med de rettigheter avtalen utløser. Når avtalen er tegnet skal eleven tas ut av undervisning i fremmedsp</w:t>
            </w:r>
            <w:r w:rsidRPr="0047681C" w:rsidR="00176496">
              <w:rPr>
                <w:rFonts w:ascii="Verdana" w:hAnsi="Verdana" w:cs="Segoe UI"/>
                <w:bCs/>
                <w:sz w:val="20"/>
              </w:rPr>
              <w:t>r</w:t>
            </w:r>
            <w:r w:rsidRPr="0047681C" w:rsidR="008F45FB">
              <w:rPr>
                <w:rFonts w:ascii="Verdana" w:hAnsi="Verdana" w:cs="Segoe UI"/>
                <w:bCs/>
                <w:sz w:val="20"/>
              </w:rPr>
              <w:t>åk.</w:t>
            </w:r>
          </w:p>
          <w:p w:rsidR="0007340C" w14:paraId="25706912" w14:textId="01ED593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Eleven er selv ansvarlig for å melde seg opp til både skriftlig og muntlig eksamen i </w:t>
            </w:r>
            <w:hyperlink r:id="rId7" w:history="1">
              <w:r w:rsidRPr="0007340C">
                <w:rPr>
                  <w:rStyle w:val="Hyperlink"/>
                  <w:rFonts w:ascii="Verdana" w:hAnsi="Verdana"/>
                  <w:bCs/>
                  <w:sz w:val="20"/>
                </w:rPr>
                <w:t>privatistportalen</w:t>
              </w:r>
            </w:hyperlink>
            <w:r>
              <w:rPr>
                <w:rFonts w:ascii="Verdana" w:hAnsi="Verdana"/>
                <w:bCs/>
                <w:sz w:val="20"/>
              </w:rPr>
              <w:t>.</w:t>
            </w:r>
          </w:p>
          <w:p w:rsidR="0007340C" w:rsidRPr="0047681C" w14:paraId="4CDB1F36" w14:textId="3C135163">
            <w:pPr>
              <w:rPr>
                <w:rFonts w:ascii="Verdana" w:hAnsi="Verdana"/>
                <w:bCs/>
                <w:sz w:val="20"/>
              </w:rPr>
            </w:pPr>
            <w:r w:rsidRPr="0007340C">
              <w:rPr>
                <w:rFonts w:ascii="Verdana" w:hAnsi="Verdana"/>
                <w:bCs/>
                <w:sz w:val="20"/>
              </w:rPr>
              <w:t>Flerspråklige elever som deltar i undervisning for å styrke norsk/engelskkunnskaper og/eller har bodd i Norge mindre enn seks år er fritatt fra å betale eksamensavgift.</w:t>
            </w:r>
          </w:p>
          <w:p w:rsidR="00BE28FF" w:rsidRPr="00DE6341" w14:paraId="79D32950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9D32955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 w14:paraId="79D32952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Avviksbehandling</w:t>
            </w:r>
          </w:p>
          <w:p w:rsidR="00BE28FF" w14:paraId="79D32953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Avvik meldes gjennom fylkeskommunens avvikssystem.</w:t>
            </w:r>
          </w:p>
          <w:p w:rsidR="00AC324C" w:rsidRPr="00DE6341" w14:paraId="79D32954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9D32958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 w14:paraId="79D32956" w14:textId="77777777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Distribusjon</w:t>
            </w:r>
          </w:p>
          <w:p w:rsidR="00BE28FF" w:rsidRPr="00DE6341" w14:paraId="79D32957" w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Rektor, avdelingsledere</w:t>
            </w:r>
            <w:r w:rsidR="00AC324C">
              <w:rPr>
                <w:rFonts w:ascii="Verdana" w:hAnsi="Verdana"/>
                <w:sz w:val="20"/>
              </w:rPr>
              <w:t xml:space="preserve"> og rådgivere for studieforberedende utdanningsprogram.</w:t>
            </w:r>
          </w:p>
        </w:tc>
      </w:tr>
    </w:tbl>
    <w:p w:rsidR="00950BED" w14:paraId="79D32959" w14:textId="77777777">
      <w:pPr>
        <w:rPr>
          <w:rFonts w:ascii="Verdana" w:hAnsi="Verdana"/>
          <w:sz w:val="20"/>
        </w:rPr>
      </w:pPr>
    </w:p>
    <w:p w:rsidR="0007340C" w14:paraId="7FFA69D8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07340C" w14:paraId="6733209D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950BED" w14:paraId="79D3295A" w14:textId="44BB798E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79D3295E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79D3295F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p w:rsidR="0007340C" w14:paraId="568476F6" w14:textId="77777777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79D32962" w14:textId="77777777">
      <w:pPr>
        <w:rPr>
          <w:rFonts w:ascii="Verdana" w:hAnsi="Verdana"/>
          <w:sz w:val="20"/>
        </w:rPr>
      </w:pPr>
      <w:bookmarkEnd w:id="2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9D3296F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9D32970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9D32972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BF8" w14:paraId="79D329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79D32969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E34C5D" w14:paraId="79D32966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Avtale fremmedspråk som privatist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E34C5D" w:rsidRPr="00554977" w14:paraId="79D32967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E34C5D" w:rsidRPr="00554977" w:rsidP="00554977" w14:paraId="79D32968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D12319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79D3296D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E34C5D" w14:paraId="79D3296A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E34C5D" w14:paraId="79D3296B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E34C5D" w:rsidP="00554977" w14:paraId="79D3296C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79D3296E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BF8" w14:paraId="79D3297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06565"/>
    <w:rsid w:val="00065CB9"/>
    <w:rsid w:val="00071546"/>
    <w:rsid w:val="0007340C"/>
    <w:rsid w:val="000C1F18"/>
    <w:rsid w:val="000C6572"/>
    <w:rsid w:val="00176496"/>
    <w:rsid w:val="001A6C24"/>
    <w:rsid w:val="002756E6"/>
    <w:rsid w:val="00291C78"/>
    <w:rsid w:val="00294CA4"/>
    <w:rsid w:val="002F3AFA"/>
    <w:rsid w:val="003076C9"/>
    <w:rsid w:val="003323A9"/>
    <w:rsid w:val="00366813"/>
    <w:rsid w:val="00393257"/>
    <w:rsid w:val="00400564"/>
    <w:rsid w:val="00404177"/>
    <w:rsid w:val="00473CC8"/>
    <w:rsid w:val="0047681C"/>
    <w:rsid w:val="004A7C7D"/>
    <w:rsid w:val="005454FA"/>
    <w:rsid w:val="0055044A"/>
    <w:rsid w:val="00554977"/>
    <w:rsid w:val="00577D7C"/>
    <w:rsid w:val="006148B8"/>
    <w:rsid w:val="006826F6"/>
    <w:rsid w:val="007100F1"/>
    <w:rsid w:val="007772E0"/>
    <w:rsid w:val="00893093"/>
    <w:rsid w:val="008C5025"/>
    <w:rsid w:val="008F45FB"/>
    <w:rsid w:val="00950BED"/>
    <w:rsid w:val="00951BF8"/>
    <w:rsid w:val="009E75F4"/>
    <w:rsid w:val="00AB4C03"/>
    <w:rsid w:val="00AC324C"/>
    <w:rsid w:val="00AC7BAE"/>
    <w:rsid w:val="00B04A20"/>
    <w:rsid w:val="00B66089"/>
    <w:rsid w:val="00BE28FF"/>
    <w:rsid w:val="00C669AF"/>
    <w:rsid w:val="00CD693E"/>
    <w:rsid w:val="00D54614"/>
    <w:rsid w:val="00DC21A5"/>
    <w:rsid w:val="00DE6341"/>
    <w:rsid w:val="00E34C5D"/>
    <w:rsid w:val="00E80608"/>
    <w:rsid w:val="00E854C9"/>
    <w:rsid w:val="00E925B3"/>
    <w:rsid w:val="00ED28BA"/>
    <w:rsid w:val="00F03C5A"/>
    <w:rsid w:val="00F53A0C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Inger Johanne Fære Forseth"/>
    <w:docVar w:name="ek_dbfields" w:val="EK_Avdeling¤2#4¤2# ¤3#EK_Avsnitt¤2#4¤2# ¤3#EK_Bedriftsnavn¤2#1¤2#Nordland fylkeskommune¤3#EK_GjelderFra¤2#0¤2#11.09.2019¤3#EK_Opprettet¤2#0¤2#10.09.2019¤3#EK_Utgitt¤2#0¤2#11.09.2019¤3#EK_IBrukDato¤2#0¤2#11.09.2019¤3#EK_DokumentID¤2#0¤2#D12319¤3#EK_DokTittel¤2#0¤2#Avtale fremmedspråk som privatist¤3#EK_DokType¤2#0¤2#Generelt¤3#EK_EksRef¤2#2¤2# 0_x0009_¤3#EK_Erstatter¤2#0¤2# ¤3#EK_ErstatterD¤2#0¤2# ¤3#EK_Signatur¤2#0¤2#Marit Helness¤3#EK_Verifisert¤2#0¤2# ¤3#EK_Hørt¤2#0¤2# ¤3#EK_AuditReview¤2#2¤2# ¤3#EK_AuditApprove¤2#2¤2# ¤3#EK_Gradering¤2#0¤2#Åpen¤3#EK_Gradnr¤2#4¤2#0¤3#EK_Kapittel¤2#4¤2# ¤3#EK_Referanse¤2#2¤2# 0_x0009_¤3#EK_RefNr¤2#0¤2#UTD..2.5.17¤3#EK_Revisjon¤2#0¤2#1.00¤3#EK_Ansvarlig¤2#0¤2#Inger Johanne Fære Forseth¤3#EK_SkrevetAv¤2#0¤2#Inger Forseth¤3#EK_DokAnsvNavn¤2#0¤2#Elisabeth Aune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11.09.2020¤3#EK_Vedlegg¤2#2¤2# 0_x0009_¤3#EK_AvdelingOver¤2#4¤2# ¤3#EK_HRefNr¤2#0¤2# ¤3#EK_HbNavn¤2#0¤2# ¤3#EK_DokRefnr¤2#4¤2#0007010205¤3#EK_Dokendrdato¤2#4¤2#29.11.2019 14:31:05¤3#EK_HbType¤2#4¤2# ¤3#EK_Offisiell¤2#4¤2# ¤3#EK_VedleggRef¤2#4¤2#UTD..2.5.17¤3#EK_Strukt00¤2#5¤2#¤5#UTD¤5#Utdanning¤5#0¤5#0¤4#.¤5#¤5#Felles for Utdanningssektoren¤5#0¤5#0¤4#.¤5#2¤5#Hovedprosesser - Felles Utdanning¤5#0¤5#0¤4#.¤5#5¤5#Eksamen - Felles Utdanning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¤5#Felles for Utdanningssektoren¤5#0¤5#0¤4#.¤5#2¤5#Hovedprosesser - Felles Utdanning¤5#0¤5#0¤4#.¤5#5¤5#Eksamen - Felles Utdanning¤5#0¤5#0¤4#§¤3#"/>
    <w:docVar w:name="ek_dl" w:val="17"/>
    <w:docVar w:name="ek_dokansvnavn" w:val="Elisabeth Aune"/>
    <w:docVar w:name="ek_doktittel" w:val="Avtale fremmedspråk som privatist"/>
    <w:docVar w:name="ek_doktype" w:val="Generelt"/>
    <w:docVar w:name="ek_dokumentid" w:val="D12319"/>
    <w:docVar w:name="ek_erstatter" w:val=" "/>
    <w:docVar w:name="ek_erstatterd" w:val=" "/>
    <w:docVar w:name="ek_format" w:val="-10"/>
    <w:docVar w:name="ek_gjelderfra" w:val="11.09.2019"/>
    <w:docVar w:name="ek_gjeldertil" w:val="11.09.2020"/>
    <w:docVar w:name="ek_gradering" w:val="Åpen"/>
    <w:docVar w:name="ek_hbnavn" w:val=" "/>
    <w:docVar w:name="ek_hrefnr" w:val=" "/>
    <w:docVar w:name="ek_hørt" w:val=" "/>
    <w:docVar w:name="ek_ibrukdato" w:val="11.09.2019"/>
    <w:docVar w:name="ek_merknad" w:val="[]"/>
    <w:docVar w:name="ek_opprettet" w:val="10.09.2019"/>
    <w:docVar w:name="ek_rapport" w:val="[]"/>
    <w:docVar w:name="ek_refnr" w:val="UTD..2.5.17"/>
    <w:docVar w:name="ek_revisjon" w:val="1.00"/>
    <w:docVar w:name="ek_signatur" w:val="Marit Helness"/>
    <w:docVar w:name="ek_skrevetav" w:val="Inger Forseth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0"/>
    <w:docVar w:name="ek_utgitt" w:val="11.09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D3291C"/>
  <w15:docId w15:val="{D26A0ECA-F262-40A6-9D4A-3814A2F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2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81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intranett.nfk.no/personal/lederstotte/internt-soknadssenter/" TargetMode="External" /><Relationship Id="rId6" Type="http://schemas.openxmlformats.org/officeDocument/2006/relationships/hyperlink" Target="https://internskjema.nfk.no/skjema/NFK282/" TargetMode="External" /><Relationship Id="rId7" Type="http://schemas.openxmlformats.org/officeDocument/2006/relationships/hyperlink" Target="https://privatist.inschool.visma.no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</TotalTime>
  <Pages>1</Pages>
  <Words>305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Avtale fremmedspråk som privatist</vt:lpstr>
      <vt:lpstr>Standard</vt:lpstr>
    </vt:vector>
  </TitlesOfParts>
  <Company>Datakvalitet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fremmedspråk som privatist</dc:title>
  <dc:subject>0007010205|UTD..2.5.17|</dc:subject>
  <dc:creator>Handbok</dc:creator>
  <cp:lastModifiedBy>Elisabeth Aune</cp:lastModifiedBy>
  <cp:revision>3</cp:revision>
  <dcterms:created xsi:type="dcterms:W3CDTF">2020-01-08T18:31:00Z</dcterms:created>
  <dcterms:modified xsi:type="dcterms:W3CDTF">2023-08-17T11:33:00Z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Avtale fremmedspråk som privatist</vt:lpwstr>
  </property>
  <property fmtid="{D5CDD505-2E9C-101B-9397-08002B2CF9AE}" pid="4" name="EK_DokumentID">
    <vt:lpwstr>D12319</vt:lpwstr>
  </property>
  <property fmtid="{D5CDD505-2E9C-101B-9397-08002B2CF9AE}" pid="5" name="EK_GjelderFra">
    <vt:lpwstr>21.08.2023</vt:lpwstr>
  </property>
  <property fmtid="{D5CDD505-2E9C-101B-9397-08002B2CF9AE}" pid="6" name="EK_Signatur">
    <vt:lpwstr>Anne-Grethe Mathisen Døvik</vt:lpwstr>
  </property>
  <property fmtid="{D5CDD505-2E9C-101B-9397-08002B2CF9AE}" pid="7" name="EK_SkrevetAv">
    <vt:lpwstr>Elisabeth Aune</vt:lpwstr>
  </property>
  <property fmtid="{D5CDD505-2E9C-101B-9397-08002B2CF9AE}" pid="8" name="EK_Utgave">
    <vt:lpwstr>2.00</vt:lpwstr>
  </property>
  <property fmtid="{D5CDD505-2E9C-101B-9397-08002B2CF9AE}" pid="9" name="EK_Watermark">
    <vt:lpwstr/>
  </property>
</Properties>
</file>