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7F1527E4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7F1527E0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7F1527E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 w14:paraId="7F1527E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7F1527E3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D9458A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D9458A">
              <w:rPr>
                <w:rFonts w:ascii="Verdana" w:hAnsi="Verdana"/>
                <w:b/>
                <w:bCs/>
                <w:color w:val="0082A3"/>
                <w:sz w:val="16"/>
              </w:rPr>
              <w:t>D11493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7F1527E9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7F1527E5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7F1527E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7F1527E7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7F1527E8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3.00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F1527EE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7F1527EA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7F1527E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7F1527E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7F1527ED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27.09.2023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F1527F3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7F1527EF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7F1527F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7F1527F1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F1527F2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Øystein Bærø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7F1527F8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7F1527F4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7F1527F5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7F1527F6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7F1527F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Henrik Schmidt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F1527FB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8C5025" w14:paraId="7F1527F9" w14:textId="77777777">
            <w:pPr>
              <w:pStyle w:val="Header"/>
              <w:tabs>
                <w:tab w:val="num" w:pos="1080"/>
              </w:tabs>
              <w:ind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:rsidR="00577D7C" w:rsidRPr="00577D7C" w:rsidP="00577D7C" w14:paraId="7F1527FA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4161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74161B">
              <w:rPr>
                <w:rStyle w:val="PageNumber"/>
                <w:rFonts w:ascii="Verdana" w:hAnsi="Verdana"/>
                <w:noProof/>
                <w:sz w:val="16"/>
              </w:rPr>
              <w:t>4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7F1527FE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7F1527FC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Behandlingstilbud til prioriterte grupper b, c og e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  <w:r w:rsidR="00864E9F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1546" w:rsidRPr="00577D7C" w:rsidP="00577D7C" w14:paraId="7F1527FD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7F1527FF" w14:textId="77777777">
      <w:pPr>
        <w:ind w:left="2127" w:hanging="2127"/>
      </w:pPr>
      <w:r>
        <w:rPr>
          <w:b/>
          <w:bCs/>
        </w:rPr>
        <w:tab/>
      </w:r>
    </w:p>
    <w:p w:rsidR="00950BED" w14:paraId="7F152800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7F152804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84B37" w:rsidP="00975B23" w14:paraId="7F152801" w14:textId="77777777">
            <w:pPr>
              <w:pStyle w:val="Heading1"/>
            </w:pPr>
            <w:r w:rsidRPr="00D84B37">
              <w:t>Formål</w:t>
            </w:r>
          </w:p>
          <w:p w:rsidR="00566867" w:rsidP="003963A9" w14:paraId="28871ECB" w14:textId="34985031">
            <w:pPr>
              <w:jc w:val="both"/>
            </w:pPr>
            <w:r w:rsidRPr="00D84B37">
              <w:t xml:space="preserve">Eldre, langtidssyke og uføre i institusjon (gruppe </w:t>
            </w:r>
            <w:r>
              <w:t>c</w:t>
            </w:r>
            <w:r w:rsidRPr="00D84B37">
              <w:t>1)</w:t>
            </w:r>
            <w:r>
              <w:t xml:space="preserve">, pasienter som mottar hjemmesykepleie </w:t>
            </w:r>
            <w:r w:rsidRPr="00D84B37">
              <w:t xml:space="preserve">(gruppe </w:t>
            </w:r>
            <w:r>
              <w:t>c</w:t>
            </w:r>
            <w:r w:rsidRPr="00D84B37">
              <w:t>2)</w:t>
            </w:r>
            <w:r>
              <w:t>, personer med psykisk utviklingshemming (gruppe b) samt personer med rusproblematikk (gruppe e1)</w:t>
            </w:r>
            <w:r w:rsidRPr="00D84B37">
              <w:t xml:space="preserve"> har</w:t>
            </w:r>
            <w:r w:rsidR="00BC5888">
              <w:t xml:space="preserve"> etter kriteriene nedenfor, </w:t>
            </w:r>
            <w:r w:rsidRPr="00D84B37">
              <w:t xml:space="preserve"> rett til et </w:t>
            </w:r>
            <w:r w:rsidR="00BC5888">
              <w:t xml:space="preserve">vederlagsfritt, </w:t>
            </w:r>
            <w:r w:rsidRPr="00D84B37">
              <w:t xml:space="preserve">regelmessig og oppsøkende tilbud </w:t>
            </w:r>
            <w:r>
              <w:t>i</w:t>
            </w:r>
            <w:r w:rsidRPr="00D84B37">
              <w:t xml:space="preserve"> Den offentlige tannhelsetjenesten</w:t>
            </w:r>
            <w:r w:rsidR="00CA611B">
              <w:t xml:space="preserve">. </w:t>
            </w:r>
          </w:p>
          <w:p w:rsidR="00566867" w:rsidP="003963A9" w14:paraId="59FA1AD0" w14:textId="77777777">
            <w:pPr>
              <w:jc w:val="both"/>
            </w:pPr>
          </w:p>
          <w:p w:rsidR="00D84B37" w:rsidP="003963A9" w14:paraId="7F152802" w14:textId="62B52284">
            <w:pPr>
              <w:jc w:val="both"/>
            </w:pPr>
            <w:r w:rsidRPr="00D84B37">
              <w:t xml:space="preserve">Reglementet skal sikre at de som har rett til tilbudet faktisk får tilbudet. </w:t>
            </w:r>
          </w:p>
          <w:p w:rsidR="00825E7D" w:rsidP="003963A9" w14:paraId="600198B3" w14:textId="77777777">
            <w:pPr>
              <w:jc w:val="both"/>
            </w:pPr>
          </w:p>
          <w:p w:rsidR="00BC5888" w:rsidP="003963A9" w14:paraId="5BB92CAB" w14:textId="77777777">
            <w:pPr>
              <w:jc w:val="both"/>
            </w:pPr>
            <w:r>
              <w:t xml:space="preserve">Rutinen omfatter kun tannbehandling. </w:t>
            </w:r>
          </w:p>
          <w:p w:rsidR="00BC5888" w:rsidP="003963A9" w14:paraId="3D48E14C" w14:textId="77777777">
            <w:pPr>
              <w:jc w:val="both"/>
            </w:pPr>
          </w:p>
          <w:p w:rsidR="00825E7D" w:rsidRPr="00D84B37" w:rsidP="003963A9" w14:paraId="09662437" w14:textId="69F37E80">
            <w:pPr>
              <w:jc w:val="both"/>
            </w:pPr>
            <w:r>
              <w:t xml:space="preserve">Transport dekkes etter gjeldende forskrift for Nordland fylkeskommune. </w:t>
            </w:r>
          </w:p>
          <w:p w:rsidR="003E0347" w:rsidRPr="00D84B37" w:rsidP="003963A9" w14:paraId="7F152803" w14:textId="77777777">
            <w:pPr>
              <w:pStyle w:val="ListParagraph"/>
              <w:jc w:val="both"/>
              <w:rPr>
                <w:rFonts w:ascii="Verdana" w:hAnsi="Verdana"/>
                <w:szCs w:val="24"/>
              </w:rPr>
            </w:pPr>
          </w:p>
        </w:tc>
      </w:tr>
      <w:tr w14:paraId="7F152808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84B37" w:rsidP="00975B23" w14:paraId="7F152805" w14:textId="77777777">
            <w:pPr>
              <w:pStyle w:val="Heading1"/>
            </w:pPr>
            <w:r w:rsidRPr="00D84B37">
              <w:t>Omfang</w:t>
            </w:r>
          </w:p>
          <w:p w:rsidR="00BE28FF" w:rsidRPr="00D84B37" w:rsidP="003963A9" w14:paraId="7F152806" w14:textId="77777777">
            <w:pPr>
              <w:jc w:val="both"/>
            </w:pPr>
            <w:r w:rsidRPr="00D84B37">
              <w:t>Den offentlige tannhelsetjenesten i Nordland</w:t>
            </w:r>
            <w:r w:rsidR="00D84B37">
              <w:t xml:space="preserve"> og samtlige kommuner i Nordland fylke. </w:t>
            </w:r>
          </w:p>
          <w:p w:rsidR="003E0347" w:rsidRPr="00D84B37" w:rsidP="003963A9" w14:paraId="7F152807" w14:textId="77777777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14:paraId="7F152810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84B37" w:rsidP="00975B23" w14:paraId="7F152809" w14:textId="77777777">
            <w:pPr>
              <w:pStyle w:val="Heading1"/>
            </w:pPr>
            <w:r w:rsidRPr="00D84B37">
              <w:t>Ansvar</w:t>
            </w:r>
          </w:p>
          <w:p w:rsidR="00D84B37" w:rsidRPr="00D84B37" w:rsidP="003963A9" w14:paraId="7F15280A" w14:textId="545FC85D">
            <w:pPr>
              <w:pStyle w:val="Heading2"/>
              <w:jc w:val="both"/>
            </w:pPr>
            <w:r w:rsidRPr="00D84B37">
              <w:t>Tannhelsetjenesten</w:t>
            </w:r>
          </w:p>
          <w:p w:rsidR="00BE28FF" w:rsidRPr="00D84B37" w:rsidP="003963A9" w14:paraId="7F15280B" w14:textId="77777777">
            <w:pPr>
              <w:jc w:val="both"/>
            </w:pPr>
            <w:r w:rsidRPr="00D84B37">
              <w:t xml:space="preserve">Alle som behandler og </w:t>
            </w:r>
            <w:r w:rsidRPr="00D84B37" w:rsidR="00381D4A">
              <w:t>registrerer</w:t>
            </w:r>
            <w:r w:rsidRPr="00D84B37">
              <w:t xml:space="preserve"> prioritert klientell</w:t>
            </w:r>
            <w:r w:rsidRPr="00D84B37" w:rsidR="00AD7AE0">
              <w:t>, samt de som vedlikeholder pasientregister</w:t>
            </w:r>
            <w:r w:rsidRPr="00D84B37">
              <w:t xml:space="preserve"> i Den offentlige tannhelsetjenestens journalsystem. </w:t>
            </w:r>
          </w:p>
          <w:p w:rsidR="00D84B37" w:rsidRPr="00D84B37" w:rsidP="003963A9" w14:paraId="7F15280C" w14:textId="77777777">
            <w:pPr>
              <w:jc w:val="both"/>
              <w:rPr>
                <w:rFonts w:ascii="Verdana" w:hAnsi="Verdana"/>
                <w:szCs w:val="24"/>
              </w:rPr>
            </w:pPr>
          </w:p>
          <w:p w:rsidR="00D84B37" w:rsidRPr="00975B23" w:rsidP="00975B23" w14:paraId="7F15280D" w14:textId="1C3E510A">
            <w:pPr>
              <w:pStyle w:val="Heading2"/>
            </w:pPr>
            <w:r w:rsidRPr="00975B23">
              <w:t>Kommunen</w:t>
            </w:r>
          </w:p>
          <w:p w:rsidR="00CA611B" w:rsidP="003963A9" w14:paraId="60B67494" w14:textId="593EAB10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Personer som mottar tilbud fra kommunale helse- og omsorgstjenester, tjenestetilbud for personer med utviklingshemming eller tjenester for personer med ruspr</w:t>
            </w:r>
            <w:r>
              <w:t xml:space="preserve">oblematikk skal informeres om rettigheter til vederlagsfri tannbehandling fra kommunen. </w:t>
            </w:r>
          </w:p>
          <w:p w:rsidR="00CA611B" w:rsidP="003963A9" w14:paraId="1F51B4C6" w14:textId="77777777">
            <w:pPr>
              <w:jc w:val="both"/>
            </w:pPr>
          </w:p>
          <w:p w:rsidR="00D84B37" w:rsidRPr="00D84B37" w:rsidP="003963A9" w14:paraId="7F15280E" w14:textId="4D76C6D3">
            <w:pPr>
              <w:pStyle w:val="ListParagraph"/>
              <w:numPr>
                <w:ilvl w:val="0"/>
                <w:numId w:val="15"/>
              </w:numPr>
              <w:jc w:val="both"/>
            </w:pPr>
            <w:r>
              <w:t>Det skal fylles ut</w:t>
            </w:r>
            <w:r w:rsidRPr="00D84B37" w:rsidR="0030091B">
              <w:t xml:space="preserve"> innmeldingsskjema</w:t>
            </w:r>
            <w:r>
              <w:t>, jf. samarbeidsavtale. Personen som signerer skjemae</w:t>
            </w:r>
            <w:r w:rsidR="00CA611B">
              <w:t xml:space="preserve">t, </w:t>
            </w:r>
            <w:r>
              <w:t xml:space="preserve">bekrefter på </w:t>
            </w:r>
            <w:r w:rsidRPr="00D84B37" w:rsidR="0030091B">
              <w:t>vegne av kommunen og/eller institusjonen at vedkommende</w:t>
            </w:r>
            <w:r w:rsidR="004C53AE">
              <w:t xml:space="preserve"> bruker</w:t>
            </w:r>
            <w:r w:rsidRPr="00D84B37" w:rsidR="0030091B">
              <w:t xml:space="preserve"> oppfyller kriteriene til innmelding i gruppen. </w:t>
            </w:r>
          </w:p>
          <w:p w:rsidR="003E0347" w:rsidRPr="00D84B37" w:rsidP="003963A9" w14:paraId="7F15280F" w14:textId="77777777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14:paraId="7F152824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CA611B" w:rsidP="00975B23" w14:paraId="7F152811" w14:textId="08BBA025">
            <w:pPr>
              <w:pStyle w:val="Heading1"/>
            </w:pPr>
            <w:r w:rsidRPr="00CA611B">
              <w:t>Kriterier</w:t>
            </w:r>
            <w:r w:rsidR="00825E7D">
              <w:t xml:space="preserve"> for vederlagsfri tannbehandling</w:t>
            </w:r>
          </w:p>
          <w:p w:rsidR="00CA611B" w:rsidRPr="00975B23" w:rsidP="00975B23" w14:paraId="62999334" w14:textId="219D389B">
            <w:pPr>
              <w:pStyle w:val="Heading2"/>
            </w:pPr>
            <w:r w:rsidRPr="00975B23">
              <w:t>Personer med utviklingshemming</w:t>
            </w:r>
            <w:r w:rsidRPr="00975B23" w:rsidR="00825E7D">
              <w:t xml:space="preserve"> (b)</w:t>
            </w:r>
          </w:p>
          <w:p w:rsidR="00CA611B" w:rsidP="003963A9" w14:paraId="4B9CBD9D" w14:textId="4772618D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CA611B">
              <w:t xml:space="preserve">For at tannhelsetjenesten skal kunne gi tilbudet må det foreligge dokumentasjon på at personen er </w:t>
            </w:r>
            <w:r w:rsidRPr="00CA611B">
              <w:t>diagnostisert med psykisk utviklingshemming. Diagnosekode som gir rettigheter, er F70-F79 i ICD-10 eller P85 i ICPC-2.</w:t>
            </w:r>
          </w:p>
          <w:p w:rsidR="00825E7D" w:rsidP="003963A9" w14:paraId="28D395FE" w14:textId="77777777">
            <w:pPr>
              <w:pStyle w:val="ListParagraph"/>
              <w:jc w:val="both"/>
            </w:pPr>
          </w:p>
          <w:p w:rsidR="00825E7D" w:rsidP="003963A9" w14:paraId="7989E7E9" w14:textId="77777777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825E7D">
              <w:t>I de tilfeller det er personer med diagnose psykisk utviklingshemming (se ovenfor) som berettiger til gratis tannbehandling, men som ikk</w:t>
            </w:r>
            <w:r w:rsidRPr="00825E7D">
              <w:t xml:space="preserve">e har kontakt med omsorgstjenesten i kommunen, kan personens fastlege (eller relevant spesialist) bekrefte diagnosen og fylle ut skjemaet før det medbringes/sendes til tannklinikken. </w:t>
            </w:r>
          </w:p>
          <w:p w:rsidR="00825E7D" w:rsidP="003963A9" w14:paraId="73E2A262" w14:textId="77777777">
            <w:pPr>
              <w:pStyle w:val="ListParagraph"/>
              <w:jc w:val="both"/>
            </w:pPr>
          </w:p>
          <w:p w:rsidR="00CA611B" w:rsidP="003963A9" w14:paraId="7A19DE6C" w14:textId="7D2091CE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825E7D">
              <w:t xml:space="preserve">Dersom personen allerede har dokumentasjon (legeerklæring) på aktuelle </w:t>
            </w:r>
            <w:r w:rsidRPr="00825E7D">
              <w:t>diagnoser, kan de selv (eller ved hjelp av verge) fylle ut skjema, legge ved legeerklæring medbringe/sende det til tannklinikken.</w:t>
            </w:r>
          </w:p>
          <w:p w:rsidR="00825E7D" w:rsidP="003963A9" w14:paraId="0E69D6CA" w14:textId="77777777">
            <w:pPr>
              <w:jc w:val="both"/>
            </w:pPr>
          </w:p>
          <w:p w:rsidR="00825E7D" w:rsidP="003963A9" w14:paraId="4FEB9209" w14:textId="77777777">
            <w:pPr>
              <w:jc w:val="both"/>
            </w:pPr>
          </w:p>
          <w:p w:rsidR="00825E7D" w:rsidRPr="00975B23" w:rsidP="00975B23" w14:paraId="39DCB6E5" w14:textId="2851B632">
            <w:pPr>
              <w:pStyle w:val="Heading2"/>
            </w:pPr>
            <w:r w:rsidRPr="00975B23">
              <w:t>Personer i institusjon, eller som mottar somatisk eller psykiatrisk helsetjeneste i hjemmet i form av sykepleie (c1 og c2)</w:t>
            </w:r>
          </w:p>
          <w:p w:rsidR="00825E7D" w:rsidP="003963A9" w14:paraId="42384C13" w14:textId="77777777">
            <w:pPr>
              <w:jc w:val="both"/>
            </w:pPr>
          </w:p>
          <w:p w:rsidR="00FD71ED" w:rsidRPr="00975B23" w:rsidP="00975B23" w14:paraId="6D5D0728" w14:textId="77BA3527">
            <w:pPr>
              <w:pStyle w:val="Heading3"/>
            </w:pPr>
            <w:r w:rsidRPr="00975B23">
              <w:t>Tilbudet omfatter personer som</w:t>
            </w:r>
          </w:p>
          <w:p w:rsidR="00FD71ED" w:rsidP="003963A9" w14:paraId="6A39884F" w14:textId="017BF5A7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FD71ED">
              <w:t>Er innlagt i institusjon i spesialisthelsetjenesten med opphold i minst tre måneder</w:t>
            </w:r>
            <w:r>
              <w:t>, eller</w:t>
            </w:r>
          </w:p>
          <w:p w:rsidR="00FD71ED" w:rsidP="003963A9" w14:paraId="0F222897" w14:textId="77777777">
            <w:pPr>
              <w:pStyle w:val="ListParagraph"/>
              <w:jc w:val="both"/>
            </w:pPr>
          </w:p>
          <w:p w:rsidR="00FD71ED" w:rsidP="003963A9" w14:paraId="5209FEBB" w14:textId="6950B245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FD71ED">
              <w:t>Er innlagt i kommunal institusjon med vedtak etter helse- og omsorgstjenesteloven § 3-2 pkt. 6 bokstav c</w:t>
            </w:r>
            <w:r>
              <w:t>, eller</w:t>
            </w:r>
          </w:p>
          <w:p w:rsidR="00FD71ED" w:rsidP="003963A9" w14:paraId="7A27D269" w14:textId="77777777">
            <w:pPr>
              <w:pStyle w:val="ListParagraph"/>
              <w:jc w:val="both"/>
            </w:pPr>
          </w:p>
          <w:p w:rsidR="00FD71ED" w:rsidP="003963A9" w14:paraId="36A879FD" w14:textId="5A7C88BD">
            <w:pPr>
              <w:pStyle w:val="ListParagraph"/>
              <w:numPr>
                <w:ilvl w:val="0"/>
                <w:numId w:val="17"/>
              </w:numPr>
              <w:jc w:val="both"/>
            </w:pPr>
            <w:r w:rsidRPr="00FD71ED">
              <w:t>Som har vedtak om he</w:t>
            </w:r>
            <w:r w:rsidRPr="00FD71ED">
              <w:t>lsetjenester i hjemmet etter helse- og omsorgstjenesteloven § 3-2 nr. 6 bokstav a (dersom tjenestene som mottas er å anse som hjemmesykepleie</w:t>
            </w:r>
            <w:r>
              <w:t xml:space="preserve">). </w:t>
            </w:r>
          </w:p>
          <w:p w:rsidR="00FD71ED" w:rsidP="003963A9" w14:paraId="0E9708C0" w14:textId="77777777">
            <w:pPr>
              <w:pStyle w:val="ListParagraph"/>
              <w:jc w:val="both"/>
            </w:pPr>
          </w:p>
          <w:p w:rsidR="00FD71ED" w:rsidP="003963A9" w14:paraId="0F0F9A71" w14:textId="77777777">
            <w:pPr>
              <w:pStyle w:val="ListParagraph"/>
              <w:ind w:left="0"/>
              <w:jc w:val="both"/>
            </w:pPr>
          </w:p>
          <w:p w:rsidR="00FD71ED" w:rsidP="003963A9" w14:paraId="04C4F2E1" w14:textId="77777777">
            <w:pPr>
              <w:pStyle w:val="ListParagraph"/>
              <w:ind w:left="0"/>
              <w:jc w:val="both"/>
            </w:pPr>
            <w:r w:rsidRPr="00FD71ED">
              <w:t>Begrepet «institusjon» omfatter alle kommunale eller statlige helseinstitusjoner, samt private helseinstitusj</w:t>
            </w:r>
            <w:r w:rsidRPr="00FD71ED">
              <w:t>oner som har avtale med kommune eller regionalt helseforetak. Opphold i private behandlingssteder som verken har avtale med kommune eller regionalt helseforetak faller utenfor bestemmelsen. Det samme gjør poliklinisk behandling som ikke medfører innleggels</w:t>
            </w:r>
            <w:r w:rsidRPr="00FD71ED">
              <w:t xml:space="preserve">e i institusjon. </w:t>
            </w:r>
          </w:p>
          <w:p w:rsidR="00FD71ED" w:rsidP="003963A9" w14:paraId="119316FE" w14:textId="77777777">
            <w:pPr>
              <w:pStyle w:val="ListParagraph"/>
              <w:ind w:left="0"/>
              <w:jc w:val="both"/>
            </w:pPr>
          </w:p>
          <w:p w:rsidR="00FD71ED" w:rsidP="003963A9" w14:paraId="54B983BD" w14:textId="77777777">
            <w:pPr>
              <w:pStyle w:val="ListParagraph"/>
              <w:ind w:left="0"/>
              <w:jc w:val="both"/>
            </w:pPr>
            <w:r w:rsidRPr="00FD71ED">
              <w:t>Med hjemmesykepleie menes helsetjenester i hjemmet i form av lettere behandling, sårbehandling, legemiddelhåndtering, psykiatrisk sykepleie mv. Hjemmesykepleie tar utgangspunkt i pasientens hjem. Med hjem menes også omsorgsbolig, bofelle</w:t>
            </w:r>
            <w:r w:rsidRPr="00FD71ED">
              <w:t xml:space="preserve">sskap, trygdebolig og andre private eller kommunale tilpassede boliger som ikke er institusjon. Det er ikke et absolutt krav at tjenesten utføres innendørs i pasientens hjem, men tjenesten må ta utgangspunkt i hjemmet. </w:t>
            </w:r>
          </w:p>
          <w:p w:rsidR="00FD71ED" w:rsidP="003963A9" w14:paraId="4EBC6E82" w14:textId="77777777">
            <w:pPr>
              <w:pStyle w:val="ListParagraph"/>
              <w:ind w:left="0"/>
              <w:jc w:val="both"/>
            </w:pPr>
          </w:p>
          <w:p w:rsidR="00FD71ED" w:rsidP="003963A9" w14:paraId="1C3E4A0D" w14:textId="2DE84320">
            <w:pPr>
              <w:pStyle w:val="ListParagraph"/>
              <w:ind w:left="0"/>
              <w:jc w:val="both"/>
            </w:pPr>
            <w:r w:rsidRPr="00FD71ED">
              <w:t>Helsetjenester som tilbys utenfor p</w:t>
            </w:r>
            <w:r w:rsidRPr="00FD71ED">
              <w:t>asientens hjem, eller som pasienten oppsøker selv, omfattes ikke. Dette innebærer at tjenester som ytes ved hjelp av ACT/FACT-team og lignende ambulerende tjeneste alene ikke gir rettigheter til tannbehandling i den offentlige tannhelsetjenesten</w:t>
            </w:r>
            <w:r>
              <w:t>.</w:t>
            </w:r>
          </w:p>
          <w:p w:rsidR="00FD71ED" w:rsidP="003963A9" w14:paraId="79BD9C88" w14:textId="77777777">
            <w:pPr>
              <w:pStyle w:val="ListParagraph"/>
              <w:ind w:left="0"/>
              <w:jc w:val="both"/>
            </w:pPr>
          </w:p>
          <w:p w:rsidR="0030091B" w:rsidRPr="0030091B" w:rsidP="003963A9" w14:paraId="3130AA8B" w14:textId="7F4326CF">
            <w:pPr>
              <w:pStyle w:val="ListParagraph"/>
              <w:ind w:left="0"/>
              <w:jc w:val="both"/>
              <w:rPr>
                <w:iCs/>
              </w:rPr>
            </w:pPr>
            <w:r w:rsidRPr="0030091B">
              <w:rPr>
                <w:iCs/>
              </w:rPr>
              <w:t>Tilbudet</w:t>
            </w:r>
            <w:r w:rsidRPr="0030091B">
              <w:rPr>
                <w:iCs/>
              </w:rPr>
              <w:t xml:space="preserve"> gjelder også pasienter som mottar helsetjenester i hjemmet i form av sykepleie ved hjelp av velferdsteknologiske løsninger som medfører at pasienten ikke har behov for ukentlig oppmøte av en ansatt i kommunens helse- og omsorgstjenest</w:t>
            </w:r>
            <w:r>
              <w:rPr>
                <w:iCs/>
              </w:rPr>
              <w:t>e, forutsatt at perso</w:t>
            </w:r>
            <w:r>
              <w:rPr>
                <w:iCs/>
              </w:rPr>
              <w:t xml:space="preserve">nen har vedtak om tilsyn minst 1 gang per uke. </w:t>
            </w:r>
          </w:p>
          <w:p w:rsidR="0030091B" w:rsidP="003963A9" w14:paraId="5D1DFBC2" w14:textId="77777777">
            <w:pPr>
              <w:pStyle w:val="ListParagraph"/>
              <w:ind w:left="0"/>
              <w:jc w:val="both"/>
              <w:rPr>
                <w:i/>
              </w:rPr>
            </w:pPr>
          </w:p>
          <w:p w:rsidR="00FD71ED" w:rsidP="003963A9" w14:paraId="33637482" w14:textId="0AA45358">
            <w:pPr>
              <w:pStyle w:val="ListParagraph"/>
              <w:ind w:left="0"/>
              <w:jc w:val="both"/>
              <w:rPr>
                <w:i/>
              </w:rPr>
            </w:pPr>
            <w:r w:rsidRPr="00FD71ED">
              <w:rPr>
                <w:i/>
              </w:rPr>
              <w:t>Praktisk hjelp etter Helse- og omsorgstjenesteloven § 3-2 pkt. 6 bokstav b gir ikke rett til vederlagsfri tannbehandling</w:t>
            </w:r>
            <w:r>
              <w:rPr>
                <w:i/>
              </w:rPr>
              <w:t xml:space="preserve"> for </w:t>
            </w:r>
            <w:r w:rsidR="0030091B">
              <w:rPr>
                <w:i/>
              </w:rPr>
              <w:t xml:space="preserve">andre </w:t>
            </w:r>
            <w:r>
              <w:rPr>
                <w:i/>
              </w:rPr>
              <w:t xml:space="preserve">personer </w:t>
            </w:r>
            <w:r w:rsidR="0030091B">
              <w:rPr>
                <w:i/>
              </w:rPr>
              <w:t>de som har</w:t>
            </w:r>
            <w:r>
              <w:rPr>
                <w:i/>
              </w:rPr>
              <w:t xml:space="preserve"> vedtak etter denne bokstaven som følge av et rusproblem.</w:t>
            </w:r>
            <w:r>
              <w:rPr>
                <w:i/>
              </w:rPr>
              <w:t xml:space="preserve"> Se nedenfor (gruppe e1). </w:t>
            </w:r>
          </w:p>
          <w:p w:rsidR="0030091B" w:rsidRPr="00FD71ED" w:rsidP="003963A9" w14:paraId="3ACDF7B3" w14:textId="77777777">
            <w:pPr>
              <w:pStyle w:val="ListParagraph"/>
              <w:ind w:left="0"/>
              <w:jc w:val="both"/>
              <w:rPr>
                <w:i/>
              </w:rPr>
            </w:pPr>
          </w:p>
          <w:p w:rsidR="00FD71ED" w:rsidP="003963A9" w14:paraId="5DEA2BB2" w14:textId="77777777">
            <w:pPr>
              <w:pStyle w:val="ListParagraph"/>
              <w:ind w:left="0"/>
              <w:jc w:val="both"/>
            </w:pPr>
          </w:p>
          <w:p w:rsidR="00EC1F1E" w:rsidP="003963A9" w14:paraId="7A4AC5D1" w14:textId="77777777">
            <w:pPr>
              <w:pStyle w:val="ListParagraph"/>
              <w:ind w:left="0"/>
              <w:jc w:val="both"/>
            </w:pPr>
          </w:p>
          <w:p w:rsidR="008E21D4" w:rsidP="003963A9" w14:paraId="799761AB" w14:textId="77777777">
            <w:pPr>
              <w:pStyle w:val="Heading2"/>
              <w:jc w:val="both"/>
            </w:pPr>
          </w:p>
          <w:p w:rsidR="008E21D4" w:rsidP="003963A9" w14:paraId="4AD5A7DE" w14:textId="77777777">
            <w:pPr>
              <w:pStyle w:val="Heading2"/>
              <w:jc w:val="both"/>
            </w:pPr>
          </w:p>
          <w:p w:rsidR="008E21D4" w:rsidP="003963A9" w14:paraId="6BB5A2B1" w14:textId="77777777">
            <w:pPr>
              <w:pStyle w:val="Heading2"/>
              <w:jc w:val="both"/>
            </w:pPr>
          </w:p>
          <w:p w:rsidR="008E21D4" w:rsidP="003963A9" w14:paraId="5A0426B5" w14:textId="77777777">
            <w:pPr>
              <w:pStyle w:val="Heading2"/>
              <w:jc w:val="both"/>
            </w:pPr>
          </w:p>
          <w:p w:rsidR="008E21D4" w:rsidP="003963A9" w14:paraId="02DA16C3" w14:textId="77777777">
            <w:pPr>
              <w:pStyle w:val="Heading2"/>
              <w:jc w:val="both"/>
            </w:pPr>
          </w:p>
          <w:p w:rsidR="003963A9" w:rsidP="003963A9" w14:paraId="3B925AD0" w14:textId="77777777"/>
          <w:p w:rsidR="003963A9" w:rsidP="003963A9" w14:paraId="791094A9" w14:textId="77777777"/>
          <w:p w:rsidR="003963A9" w:rsidP="003963A9" w14:paraId="5C34C229" w14:textId="77777777"/>
          <w:p w:rsidR="003963A9" w:rsidRPr="003963A9" w:rsidP="003963A9" w14:paraId="5AE22507" w14:textId="77777777"/>
          <w:p w:rsidR="008E21D4" w:rsidP="003963A9" w14:paraId="58F51835" w14:textId="77777777">
            <w:pPr>
              <w:pStyle w:val="Heading2"/>
              <w:jc w:val="both"/>
            </w:pPr>
          </w:p>
          <w:p w:rsidR="00FD71ED" w:rsidRPr="00975B23" w:rsidP="00975B23" w14:paraId="0E2A31D1" w14:textId="7AFCDC16">
            <w:pPr>
              <w:pStyle w:val="Heading2"/>
            </w:pPr>
            <w:r w:rsidRPr="00975B23">
              <w:t>Personer med rusproblematikk (e1)</w:t>
            </w:r>
          </w:p>
          <w:p w:rsidR="008E21D4" w:rsidRPr="008E21D4" w:rsidP="003963A9" w14:paraId="7DB4663F" w14:textId="77777777">
            <w:pPr>
              <w:jc w:val="both"/>
            </w:pPr>
          </w:p>
          <w:p w:rsidR="008E21D4" w:rsidRPr="00975B23" w:rsidP="00975B23" w14:paraId="1B839ED5" w14:textId="17167B0F">
            <w:pPr>
              <w:pStyle w:val="Heading3"/>
            </w:pPr>
            <w:r w:rsidRPr="00975B23">
              <w:t>Tilbudet omfatter personer som</w:t>
            </w:r>
          </w:p>
          <w:p w:rsidR="00226D25" w:rsidP="003963A9" w14:paraId="6ECD3A92" w14:textId="112B478E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8E21D4">
              <w:t>Er under legemiddelassistert rehabilitering (LAR)</w:t>
            </w:r>
            <w:r>
              <w:t>, eller</w:t>
            </w:r>
          </w:p>
          <w:p w:rsidR="00226D25" w:rsidP="003963A9" w14:paraId="39C99DE1" w14:textId="77777777">
            <w:pPr>
              <w:pStyle w:val="ListParagraph"/>
              <w:jc w:val="both"/>
            </w:pPr>
          </w:p>
          <w:p w:rsidR="00226D25" w:rsidP="003963A9" w14:paraId="7641A321" w14:textId="260D88E1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Som har </w:t>
            </w:r>
            <w:r w:rsidRPr="00FD71ED">
              <w:t xml:space="preserve">vedtak om helsetjenester i hjemmet etter helse- og </w:t>
            </w:r>
            <w:r w:rsidRPr="00FD71ED">
              <w:t>omsorgstjenesteloven § 3-2 nr. 6 bokstav a (dersom tjenestene som mottas er å anse som hjemmesykepleie</w:t>
            </w:r>
            <w:r>
              <w:t xml:space="preserve">) Personen meldes da inn i gruppe c2 (se ovenfor), eller </w:t>
            </w:r>
          </w:p>
          <w:p w:rsidR="00226D25" w:rsidP="003963A9" w14:paraId="45424960" w14:textId="77777777">
            <w:pPr>
              <w:pStyle w:val="ListParagraph"/>
              <w:jc w:val="both"/>
            </w:pPr>
          </w:p>
          <w:p w:rsidR="003963A9" w:rsidP="003963A9" w14:paraId="1CDA3988" w14:textId="77777777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Som er</w:t>
            </w:r>
            <w:r w:rsidRPr="00FD71ED">
              <w:t xml:space="preserve"> innlagt i kommunal institusjon med vedtak etter helse- og omsorgstjenesteloven § 3-2 pkt. 6 bokstav c</w:t>
            </w:r>
            <w:r>
              <w:t xml:space="preserve">. </w:t>
            </w:r>
          </w:p>
          <w:p w:rsidR="00226D25" w:rsidP="003963A9" w14:paraId="6EEEF337" w14:textId="2E2E5FE1">
            <w:pPr>
              <w:pStyle w:val="ListParagraph"/>
              <w:jc w:val="both"/>
            </w:pPr>
            <w:r>
              <w:t>Personen meldes da inn i gruppe c1 (se ovenfor), eller</w:t>
            </w:r>
          </w:p>
          <w:p w:rsidR="008E21D4" w:rsidP="003963A9" w14:paraId="3B68FF8F" w14:textId="77777777">
            <w:pPr>
              <w:pStyle w:val="ListParagraph"/>
              <w:jc w:val="both"/>
            </w:pPr>
          </w:p>
          <w:p w:rsidR="003963A9" w:rsidP="003963A9" w14:paraId="66DE56B4" w14:textId="339283BF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>Som m</w:t>
            </w:r>
            <w:r w:rsidRPr="008E21D4" w:rsidR="008E21D4">
              <w:t xml:space="preserve">ottar tjenester etter hjemmel i helse- og omsorgstjenesteloven § 3-2 første ledd nr. 6, bokstav </w:t>
            </w:r>
            <w:r>
              <w:t xml:space="preserve">b (personlig assistanse, </w:t>
            </w:r>
            <w:r w:rsidR="00226D25">
              <w:rPr>
                <w:i/>
                <w:iCs/>
              </w:rPr>
              <w:t>gjelder spesielt for denne gruppen)</w:t>
            </w:r>
            <w:r>
              <w:rPr>
                <w:i/>
                <w:iCs/>
              </w:rPr>
              <w:t xml:space="preserve">, </w:t>
            </w:r>
            <w:r w:rsidRPr="008E21D4" w:rsidR="008E21D4">
              <w:t xml:space="preserve">eller </w:t>
            </w:r>
          </w:p>
          <w:p w:rsidR="003963A9" w:rsidP="003963A9" w14:paraId="213392E6" w14:textId="77777777">
            <w:pPr>
              <w:pStyle w:val="ListParagraph"/>
              <w:jc w:val="both"/>
            </w:pPr>
          </w:p>
          <w:p w:rsidR="008E21D4" w:rsidP="003963A9" w14:paraId="786EB275" w14:textId="338E6433">
            <w:pPr>
              <w:pStyle w:val="ListParagraph"/>
              <w:numPr>
                <w:ilvl w:val="0"/>
                <w:numId w:val="21"/>
              </w:numPr>
              <w:jc w:val="both"/>
            </w:pPr>
            <w:r>
              <w:t xml:space="preserve">Som mottar tjenester etter hjemmel i helse- og omsorgstjenesteloven </w:t>
            </w:r>
            <w:r w:rsidRPr="008E21D4">
              <w:t xml:space="preserve">§ 3-6 nr. 2 </w:t>
            </w:r>
            <w:r>
              <w:t>(avlastningstiltak), eller</w:t>
            </w:r>
          </w:p>
          <w:p w:rsidR="008E21D4" w:rsidP="003963A9" w14:paraId="4490A5B4" w14:textId="77777777">
            <w:pPr>
              <w:pStyle w:val="ListParagraph"/>
              <w:jc w:val="both"/>
            </w:pPr>
          </w:p>
          <w:p w:rsidR="008E21D4" w:rsidRPr="008E21D4" w:rsidP="003963A9" w14:paraId="2533BBF4" w14:textId="1517FD73">
            <w:pPr>
              <w:pStyle w:val="ListParagraph"/>
              <w:numPr>
                <w:ilvl w:val="0"/>
                <w:numId w:val="21"/>
              </w:numPr>
              <w:jc w:val="both"/>
            </w:pPr>
            <w:r w:rsidRPr="008E21D4">
              <w:t>Er innlagt i statlig rusinstitusjon</w:t>
            </w:r>
            <w:r>
              <w:t xml:space="preserve"> </w:t>
            </w:r>
            <w:r w:rsidR="003963A9">
              <w:t xml:space="preserve">(meldes inn som gruppe c1 (se eget punkt tidligere). </w:t>
            </w:r>
          </w:p>
          <w:p w:rsidR="008E21D4" w:rsidRPr="008E21D4" w:rsidP="003963A9" w14:paraId="455D8E7E" w14:textId="77777777">
            <w:pPr>
              <w:jc w:val="both"/>
            </w:pPr>
          </w:p>
          <w:p w:rsidR="004C53AE" w:rsidRPr="00CA611B" w:rsidP="003963A9" w14:paraId="7F152819" w14:textId="77777777">
            <w:pPr>
              <w:pStyle w:val="ListParagraph"/>
              <w:ind w:left="360"/>
              <w:jc w:val="both"/>
              <w:rPr>
                <w:rFonts w:ascii="Verdana" w:hAnsi="Verdana"/>
                <w:i/>
                <w:szCs w:val="24"/>
              </w:rPr>
            </w:pPr>
          </w:p>
          <w:p w:rsidR="00F17C95" w:rsidRPr="00975B23" w:rsidP="00975B23" w14:paraId="7F15281A" w14:textId="5AB53380">
            <w:pPr>
              <w:pStyle w:val="Heading2"/>
            </w:pPr>
            <w:r w:rsidRPr="00975B23">
              <w:t>Tilbudet om gratis tannhelsehjelp gjelder etter 3 måneders varighet av tilbudet</w:t>
            </w:r>
          </w:p>
          <w:p w:rsidR="003963A9" w:rsidP="003963A9" w14:paraId="45F50A74" w14:textId="77777777">
            <w:pPr>
              <w:jc w:val="both"/>
            </w:pPr>
          </w:p>
          <w:p w:rsidR="003963A9" w:rsidP="003963A9" w14:paraId="3F0FA856" w14:textId="415F6FB9">
            <w:pPr>
              <w:jc w:val="both"/>
            </w:pPr>
            <w:r>
              <w:t xml:space="preserve">Dette gjelder alle gruppene. Før tilbudet har vart i 3 måneder, ytes akutt hjelp vederlagsfritt. </w:t>
            </w:r>
          </w:p>
          <w:p w:rsidR="003963A9" w:rsidRPr="003963A9" w:rsidP="003963A9" w14:paraId="7DC33AFF" w14:textId="77777777">
            <w:pPr>
              <w:jc w:val="both"/>
            </w:pPr>
          </w:p>
          <w:p w:rsidR="00864E9F" w:rsidRPr="00CA611B" w:rsidP="003963A9" w14:paraId="7F15281C" w14:textId="77777777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CA611B">
              <w:t>Med begrepet «akutt hjelp» menes behandling som er nødve</w:t>
            </w:r>
            <w:r w:rsidRPr="00CA611B">
              <w:t>ndig for å redusere eller fjerne smerter og å redusere eller fjerne infeksjonstilstander i munnhulen. Dette innebærer at (midlertidige) fyllinger, rotbehandlinger og ekstraksjoner vil måtte utføres når det anses som ledd i å fjerne smerter og infeksjonstil</w:t>
            </w:r>
            <w:r w:rsidRPr="00CA611B">
              <w:t xml:space="preserve">stander. </w:t>
            </w:r>
          </w:p>
          <w:p w:rsidR="00864E9F" w:rsidRPr="00CA611B" w:rsidP="003963A9" w14:paraId="7F15281D" w14:textId="77777777">
            <w:pPr>
              <w:jc w:val="both"/>
            </w:pPr>
          </w:p>
          <w:p w:rsidR="00F17C95" w:rsidRPr="00CA611B" w:rsidP="003963A9" w14:paraId="7F15281E" w14:textId="39574D06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CA611B">
              <w:t xml:space="preserve">Det kan </w:t>
            </w:r>
            <w:r w:rsidR="003963A9">
              <w:t xml:space="preserve">unntaksvis </w:t>
            </w:r>
            <w:r w:rsidRPr="00CA611B">
              <w:t xml:space="preserve">ytes </w:t>
            </w:r>
            <w:r w:rsidR="003963A9">
              <w:t>ordinær tannhelsehjelp</w:t>
            </w:r>
            <w:r w:rsidRPr="00CA611B">
              <w:t xml:space="preserve"> før det er gått 3 måneder i institusjon eller etter vedtak om helsetjenester i hjemmet i form av sykepleie </w:t>
            </w:r>
            <w:r w:rsidRPr="00CA611B" w:rsidR="00854498">
              <w:t xml:space="preserve">(som spesifisert ovenfor) </w:t>
            </w:r>
            <w:r w:rsidRPr="00CA611B">
              <w:t xml:space="preserve">dersom oppholdet/vedtaket er forventet å vare lengre tid enn 3 måneder. </w:t>
            </w:r>
          </w:p>
          <w:p w:rsidR="00F17C95" w:rsidRPr="00CA611B" w:rsidP="003963A9" w14:paraId="7F15281F" w14:textId="77777777">
            <w:pPr>
              <w:jc w:val="both"/>
            </w:pPr>
          </w:p>
          <w:p w:rsidR="00F17C95" w:rsidRPr="00CA611B" w:rsidP="003963A9" w14:paraId="7F152820" w14:textId="142243F6">
            <w:pPr>
              <w:pStyle w:val="ListParagraph"/>
              <w:numPr>
                <w:ilvl w:val="0"/>
                <w:numId w:val="22"/>
              </w:numPr>
              <w:jc w:val="both"/>
            </w:pPr>
            <w:r w:rsidRPr="00CA611B">
              <w:t xml:space="preserve">For pasienter i institusjon kan det ytes vederlagsfri akutt hjelp dersom </w:t>
            </w:r>
            <w:r w:rsidR="003963A9">
              <w:t>t</w:t>
            </w:r>
            <w:r w:rsidRPr="00CA611B">
              <w:t>annbehandlings</w:t>
            </w:r>
            <w:r w:rsidR="003963A9">
              <w:t>-</w:t>
            </w:r>
            <w:r w:rsidRPr="00CA611B">
              <w:t xml:space="preserve">behovet </w:t>
            </w:r>
            <w:r w:rsidRPr="003963A9">
              <w:rPr>
                <w:i/>
              </w:rPr>
              <w:t xml:space="preserve">har sammenheng med eller påvirker den sykdommen/tilstanden pasienten er </w:t>
            </w:r>
            <w:r w:rsidRPr="003963A9">
              <w:rPr>
                <w:i/>
              </w:rPr>
              <w:t>innlagt for</w:t>
            </w:r>
            <w:r w:rsidRPr="00CA611B" w:rsidR="00864E9F">
              <w:t xml:space="preserve">, selv om oppholdet har forventet varighet på mindre enn 3 måneder.  </w:t>
            </w:r>
          </w:p>
          <w:p w:rsidR="00864E9F" w:rsidRPr="00CA611B" w:rsidP="003963A9" w14:paraId="7F152821" w14:textId="77777777">
            <w:pPr>
              <w:pStyle w:val="ListParagraph"/>
              <w:jc w:val="both"/>
              <w:rPr>
                <w:rFonts w:ascii="Verdana" w:hAnsi="Verdana"/>
                <w:szCs w:val="24"/>
              </w:rPr>
            </w:pPr>
          </w:p>
          <w:p w:rsidR="00864E9F" w:rsidRPr="00CA611B" w:rsidP="003963A9" w14:paraId="7F152822" w14:textId="77777777">
            <w:pPr>
              <w:pStyle w:val="ListParagraph"/>
              <w:jc w:val="both"/>
              <w:rPr>
                <w:rFonts w:ascii="Verdana" w:hAnsi="Verdana"/>
                <w:szCs w:val="24"/>
              </w:rPr>
            </w:pPr>
          </w:p>
          <w:p w:rsidR="00566867" w:rsidRPr="00CA611B" w:rsidP="00975B23" w14:paraId="1603A554" w14:textId="58E8E554">
            <w:pPr>
              <w:pStyle w:val="Heading2"/>
            </w:pPr>
            <w:r w:rsidRPr="00CA611B">
              <w:t>Innkallingsintervaller</w:t>
            </w:r>
          </w:p>
          <w:p w:rsidR="00566867" w:rsidRPr="00CA611B" w:rsidP="003963A9" w14:paraId="55C80783" w14:textId="606F2D52">
            <w:pPr>
              <w:pStyle w:val="ListParagraph"/>
              <w:numPr>
                <w:ilvl w:val="0"/>
                <w:numId w:val="12"/>
              </w:numPr>
              <w:jc w:val="both"/>
            </w:pPr>
            <w:r>
              <w:t>Innmeldte pasienter</w:t>
            </w:r>
            <w:r w:rsidRPr="00CA611B">
              <w:t xml:space="preserve"> skal </w:t>
            </w:r>
            <w:r w:rsidRPr="00CA611B" w:rsidR="00E8640A">
              <w:t xml:space="preserve">registreres som </w:t>
            </w:r>
            <w:r w:rsidRPr="00CA611B">
              <w:t>aktive og ha recallintervall på 12-24 måneder</w:t>
            </w:r>
            <w:r w:rsidRPr="00CA611B" w:rsidR="00CA611B">
              <w:t xml:space="preserve">, etter individuell risikovurdering. </w:t>
            </w:r>
            <w:r w:rsidRPr="00CA611B">
              <w:t xml:space="preserve"> Dette gjelder også persone</w:t>
            </w:r>
            <w:r w:rsidRPr="00CA611B">
              <w:t xml:space="preserve">r som har helproteser. Unntak fra dette begrunnes i journalen. </w:t>
            </w:r>
          </w:p>
          <w:p w:rsidR="00E8640A" w:rsidRPr="00CA611B" w:rsidP="003963A9" w14:paraId="6D313968" w14:textId="77777777">
            <w:pPr>
              <w:pStyle w:val="ListParagraph"/>
              <w:jc w:val="both"/>
            </w:pPr>
          </w:p>
          <w:p w:rsidR="00566867" w:rsidRPr="00CA611B" w:rsidP="003963A9" w14:paraId="4D34106C" w14:textId="35533F46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CA611B">
              <w:t xml:space="preserve">Personer </w:t>
            </w:r>
            <w:r w:rsidR="003963A9">
              <w:t xml:space="preserve">i gruppe b, c og e </w:t>
            </w:r>
            <w:r w:rsidRPr="00CA611B">
              <w:t xml:space="preserve">som takker nei til tannhelsetjenestens tilbud inneværende år, skal ha nytt tilbud påfølgende kalenderår. </w:t>
            </w:r>
          </w:p>
          <w:p w:rsidR="00E8640A" w:rsidRPr="00CA611B" w:rsidP="003963A9" w14:paraId="57CB6686" w14:textId="77777777">
            <w:pPr>
              <w:pStyle w:val="ListParagraph"/>
              <w:jc w:val="both"/>
            </w:pPr>
          </w:p>
          <w:p w:rsidR="003E0347" w:rsidRPr="00CA611B" w:rsidP="003963A9" w14:paraId="7F152823" w14:textId="77777777">
            <w:pPr>
              <w:ind w:left="709"/>
              <w:jc w:val="both"/>
              <w:rPr>
                <w:rFonts w:ascii="Verdana" w:hAnsi="Verdana"/>
                <w:szCs w:val="24"/>
              </w:rPr>
            </w:pPr>
          </w:p>
        </w:tc>
      </w:tr>
      <w:tr w14:paraId="7F152826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P="001162EC" w14:paraId="6AB361B4" w14:textId="77777777">
            <w:pPr>
              <w:rPr>
                <w:rFonts w:ascii="Verdana" w:hAnsi="Verdana"/>
                <w:sz w:val="20"/>
              </w:rPr>
            </w:pPr>
          </w:p>
          <w:p w:rsidR="003963A9" w:rsidP="001162EC" w14:paraId="793357FF" w14:textId="77777777">
            <w:pPr>
              <w:rPr>
                <w:rFonts w:ascii="Verdana" w:hAnsi="Verdana"/>
                <w:sz w:val="20"/>
              </w:rPr>
            </w:pPr>
          </w:p>
          <w:p w:rsidR="003963A9" w:rsidRPr="00DE6341" w:rsidP="001162EC" w14:paraId="7F152825" w14:textId="7EB82368">
            <w:pPr>
              <w:rPr>
                <w:rFonts w:ascii="Verdana" w:hAnsi="Verdana"/>
                <w:sz w:val="20"/>
              </w:rPr>
            </w:pPr>
          </w:p>
        </w:tc>
      </w:tr>
      <w:tr w14:paraId="7F152828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E6341" w:rsidP="00AD7AE0" w14:paraId="7F152827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F15282D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7F152829" w14:textId="77777777">
            <w:pPr>
              <w:rPr>
                <w:rFonts w:ascii="Verdana" w:hAnsi="Verdana"/>
                <w:b/>
                <w:sz w:val="20"/>
              </w:rPr>
            </w:pPr>
            <w:bookmarkStart w:id="1" w:name="_Hlk132630456"/>
            <w:r w:rsidRPr="00BE28FF">
              <w:rPr>
                <w:rFonts w:ascii="Verdana" w:hAnsi="Verdana"/>
                <w:b/>
                <w:sz w:val="20"/>
              </w:rPr>
              <w:t>Distribusjon</w:t>
            </w:r>
          </w:p>
          <w:bookmarkEnd w:id="1"/>
          <w:p w:rsidR="00E37874" w:rsidRPr="004C53AE" w14:paraId="7F15282A" w14:textId="77777777">
            <w:pPr>
              <w:rPr>
                <w:rFonts w:ascii="Verdana" w:hAnsi="Verdana"/>
              </w:rPr>
            </w:pPr>
            <w:r w:rsidRPr="004C53AE">
              <w:rPr>
                <w:rFonts w:ascii="Verdana" w:hAnsi="Verdana"/>
              </w:rPr>
              <w:t>Kvalitetssystemet</w:t>
            </w:r>
          </w:p>
          <w:p w:rsidR="00854498" w14:paraId="7F15282B" w14:textId="77777777">
            <w:pPr>
              <w:rPr>
                <w:rFonts w:ascii="Verdana" w:hAnsi="Verdana"/>
                <w:sz w:val="20"/>
              </w:rPr>
            </w:pPr>
          </w:p>
          <w:p w:rsidR="00854498" w:rsidRPr="00E37874" w14:paraId="7F15282C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950BED" w14:paraId="7F15282E" w14:textId="4B90B196">
      <w:pPr>
        <w:rPr>
          <w:rFonts w:ascii="Verdana" w:hAnsi="Verdana"/>
          <w:sz w:val="20"/>
        </w:rPr>
      </w:pPr>
    </w:p>
    <w:p w:rsidR="00854498" w14:paraId="7F15282F" w14:textId="40A07D3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20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Tannhelsetjenesteloven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Helse- og omsorgstjenesteloven</w:t>
              </w:r>
            </w:hyperlink>
          </w:p>
        </w:tc>
      </w:tr>
    </w:tbl>
    <w:p w:rsidR="00071546" w14:paraId="7F152832" w14:textId="77777777">
      <w:pPr>
        <w:rPr>
          <w:rFonts w:ascii="Verdana" w:hAnsi="Verdana"/>
          <w:sz w:val="20"/>
        </w:rPr>
      </w:pPr>
      <w:bookmarkEnd w:id="2"/>
    </w:p>
    <w:p w:rsidR="00071546" w14:paraId="7F152833" w14:textId="77777777">
      <w:pPr>
        <w:rPr>
          <w:rFonts w:ascii="Verdana" w:hAnsi="Verdana"/>
          <w:sz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F152840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F152841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7F152843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61B" w14:paraId="7F1528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7F15283A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1457D" w14:paraId="7F152837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Behandlingstilbud til prioriterte grupper b, c og 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1457D" w:rsidRPr="00554977" w14:paraId="7F152838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1457D" w:rsidRPr="00554977" w:rsidP="00554977" w14:paraId="7F152839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D11493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7F15283E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1457D" w14:paraId="7F15283B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1457D" w14:paraId="7F15283C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1457D" w:rsidP="00554977" w14:paraId="7F15283D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3.00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7F15283F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161B" w14:paraId="7F15284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A5FD7"/>
    <w:multiLevelType w:val="hybridMultilevel"/>
    <w:tmpl w:val="597C81F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01C9"/>
    <w:multiLevelType w:val="hybridMultilevel"/>
    <w:tmpl w:val="5A3872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33A5"/>
    <w:multiLevelType w:val="hybridMultilevel"/>
    <w:tmpl w:val="834452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F1465"/>
    <w:multiLevelType w:val="hybridMultilevel"/>
    <w:tmpl w:val="89423B6A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8622B"/>
    <w:multiLevelType w:val="hybridMultilevel"/>
    <w:tmpl w:val="901E39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A29"/>
    <w:multiLevelType w:val="hybridMultilevel"/>
    <w:tmpl w:val="D00C1C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03C60"/>
    <w:multiLevelType w:val="hybridMultilevel"/>
    <w:tmpl w:val="EC0E6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C08A9"/>
    <w:multiLevelType w:val="hybridMultilevel"/>
    <w:tmpl w:val="DCAA19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766B2"/>
    <w:multiLevelType w:val="hybridMultilevel"/>
    <w:tmpl w:val="059811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C21AE"/>
    <w:multiLevelType w:val="hybridMultilevel"/>
    <w:tmpl w:val="940E75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81208"/>
    <w:multiLevelType w:val="hybridMultilevel"/>
    <w:tmpl w:val="5A3872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D75DE"/>
    <w:multiLevelType w:val="hybridMultilevel"/>
    <w:tmpl w:val="DFBCBF2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F9685E"/>
    <w:multiLevelType w:val="hybridMultilevel"/>
    <w:tmpl w:val="5406F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F7BEF"/>
    <w:multiLevelType w:val="hybridMultilevel"/>
    <w:tmpl w:val="C6C4EF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C15"/>
    <w:multiLevelType w:val="hybridMultilevel"/>
    <w:tmpl w:val="549EC2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171A6"/>
    <w:multiLevelType w:val="hybridMultilevel"/>
    <w:tmpl w:val="597C81F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7F7305"/>
    <w:multiLevelType w:val="hybridMultilevel"/>
    <w:tmpl w:val="6C64B8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  <w:i w:val="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A2DFD"/>
    <w:multiLevelType w:val="hybridMultilevel"/>
    <w:tmpl w:val="6126641C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2F270A"/>
    <w:multiLevelType w:val="hybridMultilevel"/>
    <w:tmpl w:val="BF907E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C7FA9"/>
    <w:multiLevelType w:val="hybridMultilevel"/>
    <w:tmpl w:val="A386CF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F5524"/>
    <w:multiLevelType w:val="hybridMultilevel"/>
    <w:tmpl w:val="1D9EAE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56758"/>
    <w:multiLevelType w:val="hybridMultilevel"/>
    <w:tmpl w:val="E73445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9"/>
  </w:num>
  <w:num w:numId="5">
    <w:abstractNumId w:val="18"/>
  </w:num>
  <w:num w:numId="6">
    <w:abstractNumId w:val="11"/>
  </w:num>
  <w:num w:numId="7">
    <w:abstractNumId w:val="0"/>
  </w:num>
  <w:num w:numId="8">
    <w:abstractNumId w:val="16"/>
  </w:num>
  <w:num w:numId="9">
    <w:abstractNumId w:val="12"/>
  </w:num>
  <w:num w:numId="10">
    <w:abstractNumId w:val="6"/>
  </w:num>
  <w:num w:numId="11">
    <w:abstractNumId w:val="3"/>
  </w:num>
  <w:num w:numId="12">
    <w:abstractNumId w:val="21"/>
  </w:num>
  <w:num w:numId="13">
    <w:abstractNumId w:val="7"/>
  </w:num>
  <w:num w:numId="14">
    <w:abstractNumId w:val="4"/>
  </w:num>
  <w:num w:numId="15">
    <w:abstractNumId w:val="14"/>
  </w:num>
  <w:num w:numId="16">
    <w:abstractNumId w:val="8"/>
  </w:num>
  <w:num w:numId="17">
    <w:abstractNumId w:val="1"/>
  </w:num>
  <w:num w:numId="18">
    <w:abstractNumId w:val="17"/>
  </w:num>
  <w:num w:numId="19">
    <w:abstractNumId w:val="19"/>
  </w:num>
  <w:num w:numId="20">
    <w:abstractNumId w:val="10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6565"/>
    <w:rsid w:val="0002688D"/>
    <w:rsid w:val="00071546"/>
    <w:rsid w:val="001162EC"/>
    <w:rsid w:val="001C5902"/>
    <w:rsid w:val="00226D25"/>
    <w:rsid w:val="002756E6"/>
    <w:rsid w:val="00294CA4"/>
    <w:rsid w:val="002F3AFA"/>
    <w:rsid w:val="0030091B"/>
    <w:rsid w:val="00335429"/>
    <w:rsid w:val="00371188"/>
    <w:rsid w:val="00381D4A"/>
    <w:rsid w:val="00393257"/>
    <w:rsid w:val="003963A9"/>
    <w:rsid w:val="003E0347"/>
    <w:rsid w:val="00400564"/>
    <w:rsid w:val="00473CC8"/>
    <w:rsid w:val="004A7C7D"/>
    <w:rsid w:val="004C53AE"/>
    <w:rsid w:val="004E6B3E"/>
    <w:rsid w:val="005454FA"/>
    <w:rsid w:val="00554977"/>
    <w:rsid w:val="00566867"/>
    <w:rsid w:val="00577D7C"/>
    <w:rsid w:val="006148B8"/>
    <w:rsid w:val="006826F6"/>
    <w:rsid w:val="00717BC3"/>
    <w:rsid w:val="0072629E"/>
    <w:rsid w:val="0074161B"/>
    <w:rsid w:val="007772E0"/>
    <w:rsid w:val="007A3CA0"/>
    <w:rsid w:val="007A6979"/>
    <w:rsid w:val="00825E7D"/>
    <w:rsid w:val="00854498"/>
    <w:rsid w:val="00864E9F"/>
    <w:rsid w:val="008A5B74"/>
    <w:rsid w:val="008C5025"/>
    <w:rsid w:val="008E21D4"/>
    <w:rsid w:val="0091443D"/>
    <w:rsid w:val="00921746"/>
    <w:rsid w:val="00950BED"/>
    <w:rsid w:val="00975B23"/>
    <w:rsid w:val="0098669E"/>
    <w:rsid w:val="00AC7BAE"/>
    <w:rsid w:val="00AD7AE0"/>
    <w:rsid w:val="00B04A20"/>
    <w:rsid w:val="00B1457D"/>
    <w:rsid w:val="00B66089"/>
    <w:rsid w:val="00BA72B8"/>
    <w:rsid w:val="00BC5888"/>
    <w:rsid w:val="00BE28FF"/>
    <w:rsid w:val="00C31830"/>
    <w:rsid w:val="00C669AF"/>
    <w:rsid w:val="00CA611B"/>
    <w:rsid w:val="00CD1520"/>
    <w:rsid w:val="00CD693E"/>
    <w:rsid w:val="00D54614"/>
    <w:rsid w:val="00D61894"/>
    <w:rsid w:val="00D84B37"/>
    <w:rsid w:val="00D9458A"/>
    <w:rsid w:val="00D96D95"/>
    <w:rsid w:val="00DB2230"/>
    <w:rsid w:val="00DE6341"/>
    <w:rsid w:val="00E37874"/>
    <w:rsid w:val="00E80608"/>
    <w:rsid w:val="00E854C9"/>
    <w:rsid w:val="00E8640A"/>
    <w:rsid w:val="00E925B3"/>
    <w:rsid w:val="00EA0E0C"/>
    <w:rsid w:val="00EC1F1E"/>
    <w:rsid w:val="00ED28BA"/>
    <w:rsid w:val="00F03C5A"/>
    <w:rsid w:val="00F17C95"/>
    <w:rsid w:val="00F4177B"/>
    <w:rsid w:val="00F81D19"/>
    <w:rsid w:val="00FC5B5B"/>
    <w:rsid w:val="00FD71ED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Øystein Bærø"/>
    <w:docVar w:name="ek_dbfields" w:val="EK_Avdeling¤2#4¤2# ¤3#EK_Avsnitt¤2#4¤2# ¤3#EK_Bedriftsnavn¤2#1¤2#Nordland fylkeskommune¤3#EK_GjelderFra¤2#0¤2#01.01.2019¤3#EK_Opprettet¤2#0¤2#05.06.2018¤3#EK_Utgitt¤2#0¤2#01.01.2019¤3#EK_IBrukDato¤2#0¤2#15.01.2019¤3#EK_DokumentID¤2#0¤2#D11493¤3#EK_DokTittel¤2#0¤2#Kriterier for behandlingstilbud og registrering av pasienter i gruppe C¤3#EK_DokType¤2#0¤2#Reglement¤3#EK_EksRef¤2#2¤2# 0_x0009_¤3#EK_Erstatter¤2#0¤2# ¤3#EK_ErstatterD¤2#0¤2# ¤3#EK_Signatur¤2#0¤2#Henrik Schmidt¤3#EK_Verifisert¤2#0¤2# ¤3#EK_Hørt¤2#0¤2# ¤3#EK_AuditReview¤2#2¤2# ¤3#EK_AuditApprove¤2#2¤2# ¤3#EK_Gradering¤2#0¤2#Åpen¤3#EK_Gradnr¤2#4¤2#0¤3#EK_Kapittel¤2#4¤2# ¤3#EK_Referanse¤2#2¤2# 0_x0009_¤3#EK_RefNr¤2#0¤2#KMF.6.1.1.1.7.1¤3#EK_Revisjon¤2#0¤2#1.00¤3#EK_Ansvarlig¤2#0¤2#Øystein Bærø¤3#EK_SkrevetAv¤2#0¤2#Øystein Bærø¤3#EK_UText1¤2#0¤2# ¤3#EK_UText2¤2#0¤2# ¤3#EK_UText3¤2#0¤2# ¤3#EK_UText4¤2#0¤2# ¤3#EK_Status¤2#0¤2#I bruk¤3#EK_Stikkord¤2#0¤2#eldre, langtidssyke, institusjon, hjemmesykepleie, hjemmetjeneste, sykepleie, egenomsorg, gratis tannbehandling¤3#EK_SuperStikkord¤2#0¤2#¤3#EK_Rapport¤2#3¤2#¤3#EK_EKPrintMerke¤2#0¤2#Uoffisiell utskrift er kun gyldig på utskriftsdato¤3#EK_Watermark¤2#0¤2#¤3#EK_Utgave¤2#0¤2#1.00¤3#EK_Merknad¤2#7¤2#Kvalitetssikret i fagsjefgruppen og bekreftet muntlig av fylkestannhelsesjefe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4040601010107¤3#EK_Dokendrdato¤2#4¤2#09.10.2019 11:29:51¤3#EK_HbType¤2#4¤2# ¤3#EK_Offisiell¤2#4¤2# ¤3#EK_VedleggRef¤2#4¤2#KMF.6.1.1.1.7.1¤3#EK_Strukt00¤2#5¤2#¤5#¤5#Kapittelstrukturen¤5#2¤5#0¤4#¤5#KMF¤5#Kultur, miljø og folkehelse¤5#2¤5#0¤4#¤5#¤5#Tannhelse¤5#2¤5#0¤4#.¤5#6¤5#Hovedprosesser Tannhelse¤5#0¤5#0¤4#.¤5#1¤5#Felles for Tannhelse¤5#0¤5#0¤4#.¤5#1¤5#Oppslagsverk¤5#0¤5#0¤4#.¤5#1¤5#Prosedyrehåndbok¤5#0¤5#0¤4#.¤5#7¤5#Pasientgrupper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2¤5#0¤4#¤5#KMF¤5#Kultur, miljø og folkehelse¤5#2¤5#0¤4#¤5#¤5#Tannhelse¤5#2¤5#0¤4#.¤5#6¤5#Hovedprosesser Tannhelse¤5#0¤5#0¤4#.¤5#1¤5#Felles for Tannhelse¤5#0¤5#0¤4#.¤5#1¤5#Oppslagsverk¤5#0¤5#0¤4#.¤5#1¤5#Prosedyrehåndbok¤5#0¤5#0¤4#.¤5#7¤5#Pasientgrupper¤5#0¤5#0¤4#§¤3#"/>
    <w:docVar w:name="ek_dl" w:val="1"/>
    <w:docVar w:name="ek_dokansvnavn" w:val="Henrik Schmidt"/>
    <w:docVar w:name="ek_doktittel" w:val="Kriterier for behandlingstilbud og registrering av pasienter i gruppe C"/>
    <w:docVar w:name="ek_doktype" w:val="Reglement"/>
    <w:docVar w:name="ek_dokumentid" w:val="D11493"/>
    <w:docVar w:name="ek_erstatter" w:val=" "/>
    <w:docVar w:name="ek_erstatterd" w:val=" "/>
    <w:docVar w:name="ek_format" w:val="-10"/>
    <w:docVar w:name="ek_gjelderfra" w:val="01.01.2019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15.01.2019"/>
    <w:docVar w:name="ek_merknad" w:val="Kvalitetssikret i fagsjefgruppen og bekreftet muntlig av fylkestannhelsesjefen."/>
    <w:docVar w:name="ek_opprettet" w:val="05.06.2018"/>
    <w:docVar w:name="ek_rapport" w:val="[]"/>
    <w:docVar w:name="ek_refnr" w:val="KMF.6.1.1.1.7.1"/>
    <w:docVar w:name="ek_revisjon" w:val="1.00"/>
    <w:docVar w:name="ek_signatur" w:val="Henrik Schmidt"/>
    <w:docVar w:name="ek_skrevetav" w:val="Øystein Bærø"/>
    <w:docVar w:name="ek_status" w:val="I bruk"/>
    <w:docVar w:name="ek_stikkord" w:val="eldre, langtidssyke, institusjon, hjemmesykepleie, hjemmetjeneste, sykepleie, egenomsorg, gratis tannbehandling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01.01.2019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1527E0"/>
  <w15:docId w15:val="{2BD7DB06-3071-46C9-9028-E5BDEB4B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D71ED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75B2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75B23"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lovdata.no/cgi-wift/wiftldles?doc=/app/gratis/www/docroot/all/nl-19830603-054.html&amp;emne=LOV*%20%2b%20OM*%20%2b%20TANNHELSETJENESTEN*&amp;&amp;" TargetMode="External" /><Relationship Id="rId6" Type="http://schemas.openxmlformats.org/officeDocument/2006/relationships/hyperlink" Target="https://lovdata.no/dokument/NL/lov/2011-06-24-30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90</TotalTime>
  <Pages>4</Pages>
  <Words>950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Behandlingstilbud til prioriterte grupper b, c og e</vt:lpstr>
      <vt:lpstr>Standard</vt:lpstr>
    </vt:vector>
  </TitlesOfParts>
  <Company>Datakvalitet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Behandlingstilbud til prioriterte grupper b, c og e</dc:title>
  <dc:subject>000104040601010107|KMF.6.1.1.1.7.1|</dc:subject>
  <dc:creator>Handbok</dc:creator>
  <dc:description>EK_Avdeling_x0002_4_x0002_ _x0003_EK_Avsnitt_x0002_4_x0002_ _x0003_EK_Bedriftsnavn_x0002_1_x0002_Nordland fylkeskommune_x0003_EK_GjelderFra_x0002_0_x0002_01.01.2019_x0003_EK_Opprettet_x0002_0_x0002_05.06.2018_x0003_EK_Utgitt_x0002_0_x0002_01.01.2019_x0003_EK_IBrukDato_x0002_0_x0002_15.01.2019_x0003_EK_DokumentID_x0002_0_x0002_D11493_x0003_EK_DokTittel_x0002_0_x0002_Kriterier for behandlingstilbud og registrering av pasienter i gruppe C_x0003_EK_DokType_x0002_0_x0002_Reglement_x0003_EK_EksRef_x0002_2_x0002_ 0	_x0003_EK_Erstatter_x0002_0_x0002_ _x0003_EK_ErstatterD_x0002_0_x0002_ _x0003_EK_Signatur_x0002_0_x0002_Henrik Schmidt_x0003_EK_Verifisert_x0002_0_x0002_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_x0003_EK_RefNr_x0002_0_x0002_KMF.6.1.1.1.7.1_x0003_EK_Revisjon_x0002_0_x0002_1.00_x0003_EK_Ansvarlig_x0002_0_x0002_Øystein Bærø_x0003_EK_SkrevetAv_x0002_0_x0002_Øystein Bærø_x0003_EK_UText1_x0002_0_x0002_ _x0003_EK_UText2_x0002_0_x0002_ _x0003_EK_UText3_x0002_0_x0002_ _x0003_EK_UText4_x0002_0_x0002_ _x0003_EK_Status_x0002_0_x0002_I bruk_x0003_EK_Stikkord_x0002_0_x0002_eldre, langtidssyke, institusjon, hjemmesykepleie, hjemmetjeneste, sykepleie, egenomsorg, gratis tannbehandling_x0003_EK_SuperStikkord_x0002_0_x0002__x0003_EK_Rapport_x0002_3_x0002__x0003_EK_EKPrintMerke_x0002_0_x0002_Uoffisiell utskrift er kun gyldig på utskriftsdato_x0003_EK_Watermark_x0002_0_x0002__x0003_EK_Utgave_x0002_0_x0002_1.00_x0003_EK_Merknad_x0002_7_x0002_Kvalitetssikret i fagsjefgruppen og bekreftet muntlig av fylkestannhelsesjefen._x0003_EK_VerLogg_x0002_2_x0002_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_x0003_EK_DokRefnr_x0002_4_x0002_000104040601010107_x0003_EK_Dokendrdato_x0002_4_x0002_09.10.2019 11:29:51_x0003_EK_HbType_x0002_4_x0002_ _x0003_EK_Offisiell_x0002_4_x0002_ _x0003_EK_VedleggRef_x0002_4_x0002_KMF.6.1.1.1.7.1_x0003_EK_Strukt00_x0002_5_x0002__x0005__x0005_Kapittelstrukturen_x0005_2_x0005_0_x0004__x0005_KMF_x0005_Kultur, miljø og folkehelse_x0005_2_x0005_0_x0004__x0005__x0005_Tannhelse_x0005_2_x0005_0_x0004_._x0005_6_x0005_Hovedprosesser Tannhelse_x0005_0_x0005_0_x0004_._x0005_1_x0005_Felles for Tannhelse_x0005_0_x0005_0_x0004_._x0005_1_x0005_Oppslagsverk_x0005_0_x0005_0_x0004_._x0005_1_x0005_Prosedyrehåndbok_x0005_0_x0005_0_x0004_._x0005_7_x0005_Pasientgrupper_x0005_0_x0005_0_x0004_§_x0003_EK_Pub_x0002_6_x0002_;1;15;_x0003_EKR_DokType_x0002_0_x0002_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_x0003_EKR_Strukt00_x0002_5_x0002__x0005__x0005_Kapittelstrukturen_x0005_2_x0005_0_x0004__x0005_KMF_x0005_Kultur, miljø og folkehelse_x0005_2_x0005_0_x0004__x0005__x0005_Tannhelse_x0005_2_x0005_0_x0004_._x0005_6_x0005_Hovedprosesser Tannhelse_x0005_0_x0005_0_x0004_._x0005_1_x0005_Felles for Tannhelse_x0005_0_x0005_0_x0004_._x0005_1_x0005_Oppslagsverk_x0005_0_x0005_0_x0004_._x0005_1_x0005_Prosedyrehåndbok_x0005_0_x0005_0_x0004_._x0005_7_x0005_Pasientgrupper_x0005_0_x0005_0_x0004_§_x0003_</dc:description>
  <cp:lastModifiedBy>Øystein Bærø</cp:lastModifiedBy>
  <cp:revision>6</cp:revision>
  <dcterms:created xsi:type="dcterms:W3CDTF">2020-01-30T08:38:00Z</dcterms:created>
  <dcterms:modified xsi:type="dcterms:W3CDTF">2023-05-03T11:29:00Z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Behandlingstilbud til prioriterte grupper b, c og e</vt:lpwstr>
  </property>
  <property fmtid="{D5CDD505-2E9C-101B-9397-08002B2CF9AE}" pid="4" name="EK_DokumentID">
    <vt:lpwstr>D11493</vt:lpwstr>
  </property>
  <property fmtid="{D5CDD505-2E9C-101B-9397-08002B2CF9AE}" pid="5" name="EK_GjelderFra">
    <vt:lpwstr>27.09.2023</vt:lpwstr>
  </property>
  <property fmtid="{D5CDD505-2E9C-101B-9397-08002B2CF9AE}" pid="6" name="EK_Signatur">
    <vt:lpwstr>Henrik Schmidt</vt:lpwstr>
  </property>
  <property fmtid="{D5CDD505-2E9C-101B-9397-08002B2CF9AE}" pid="7" name="EK_SkrevetAv">
    <vt:lpwstr>Øystein Bærø</vt:lpwstr>
  </property>
  <property fmtid="{D5CDD505-2E9C-101B-9397-08002B2CF9AE}" pid="8" name="EK_Utgave">
    <vt:lpwstr>3.00</vt:lpwstr>
  </property>
  <property fmtid="{D5CDD505-2E9C-101B-9397-08002B2CF9AE}" pid="9" name="EK_Watermark">
    <vt:lpwstr/>
  </property>
  <property fmtid="{D5CDD505-2E9C-101B-9397-08002B2CF9AE}" pid="10" name="XR00640">
    <vt:lpwstr/>
  </property>
  <property fmtid="{D5CDD505-2E9C-101B-9397-08002B2CF9AE}" pid="11" name="XR01131">
    <vt:lpwstr/>
  </property>
  <property fmtid="{D5CDD505-2E9C-101B-9397-08002B2CF9AE}" pid="12" name="XRF00640">
    <vt:lpwstr>Tannhelsetjenesteloven</vt:lpwstr>
  </property>
  <property fmtid="{D5CDD505-2E9C-101B-9397-08002B2CF9AE}" pid="13" name="XRF01131">
    <vt:lpwstr>Helse- og omsorgstjenesteloven</vt:lpwstr>
  </property>
  <property fmtid="{D5CDD505-2E9C-101B-9397-08002B2CF9AE}" pid="14" name="XRL00640">
    <vt:lpwstr> Tannhelsetjenesteloven</vt:lpwstr>
  </property>
  <property fmtid="{D5CDD505-2E9C-101B-9397-08002B2CF9AE}" pid="15" name="XRL01131">
    <vt:lpwstr> Helse- og omsorgstjenesteloven</vt:lpwstr>
  </property>
  <property fmtid="{D5CDD505-2E9C-101B-9397-08002B2CF9AE}" pid="16" name="XRT00640">
    <vt:lpwstr>Tannhelsetjenesteloven</vt:lpwstr>
  </property>
  <property fmtid="{D5CDD505-2E9C-101B-9397-08002B2CF9AE}" pid="17" name="XRT01131">
    <vt:lpwstr>Helse- og omsorgstjenesteloven</vt:lpwstr>
  </property>
</Properties>
</file>