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764878F9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764878F5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764878F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14:paraId="764878F7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764878F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83A17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83A17">
              <w:rPr>
                <w:rFonts w:ascii="Verdana" w:hAnsi="Verdana"/>
                <w:b/>
                <w:bCs/>
                <w:color w:val="0082A3"/>
                <w:sz w:val="16"/>
              </w:rPr>
              <w:t>D11376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64878FE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764878FA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764878F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764878F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764878F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6487903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764878FF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648790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7648790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7648790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30.09.2022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6487908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76487904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648790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7648790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648790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Trine Ludviksen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648790D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76487909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7648790A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7648790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648790C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Torild Birgitte NIlsen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6487910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8C5025" w14:paraId="7648790E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7648790F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76487913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76487911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Oppfølging av prøvenemnder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7648791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6487914" w14:textId="77777777">
      <w:pPr>
        <w:ind w:left="2127" w:hanging="2127"/>
      </w:pPr>
      <w:r>
        <w:rPr>
          <w:b/>
          <w:bCs/>
        </w:rPr>
        <w:tab/>
      </w:r>
    </w:p>
    <w:p w:rsidR="00950BED" w14:paraId="76487915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6487919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1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Formål</w:t>
            </w:r>
          </w:p>
          <w:p w:rsidR="00C7708F" w:rsidRPr="00C7708F" w14:paraId="7648791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Sikre lik oppfølging av prøvenemnder i Nordland fylkeskommune.</w:t>
            </w:r>
          </w:p>
          <w:p w:rsidR="00BE28FF" w:rsidRPr="00C7708F" w14:paraId="7648791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48791D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1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Omfang</w:t>
            </w:r>
          </w:p>
          <w:p w:rsidR="00C7708F" w:rsidRPr="00C7708F" w14:paraId="7648791B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Cs/>
                <w:sz w:val="22"/>
                <w:szCs w:val="22"/>
              </w:rPr>
              <w:t>Denne prosedyren gjelder for medarbeidere på utdanningsavdelingen med ansvar for fag i fagopplæring.</w:t>
            </w:r>
            <w:r w:rsidRPr="00C7708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BE28FF" w:rsidRPr="00C7708F" w14:paraId="764879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487927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1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Ansvar</w:t>
            </w:r>
          </w:p>
          <w:p w:rsidR="00C7708F" w:rsidRPr="00C7708F" w:rsidP="00C7708F" w14:paraId="7648791F" w14:textId="77777777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 xml:space="preserve">Seksjonsleder er ansvarlig for at ansatte kjenner til prosedyren og etterlever den. </w:t>
            </w:r>
          </w:p>
          <w:p w:rsidR="00C7708F" w:rsidRPr="00C7708F" w:rsidP="00C7708F" w14:paraId="76487920" w14:textId="77777777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</w:p>
          <w:p w:rsidR="00C7708F" w:rsidRPr="00C7708F" w:rsidP="00C7708F" w14:paraId="76487921" w14:textId="77777777">
            <w:pPr>
              <w:ind w:left="573" w:hanging="567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Saksbehand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7708F">
              <w:rPr>
                <w:rFonts w:ascii="Arial" w:hAnsi="Arial" w:cs="Arial"/>
                <w:sz w:val="22"/>
                <w:szCs w:val="22"/>
              </w:rPr>
              <w:t>er med ansvar for faget har ansvar for:</w:t>
            </w:r>
          </w:p>
          <w:p w:rsidR="00C7708F" w:rsidRPr="00C7708F" w:rsidP="00C7708F" w14:paraId="76487922" w14:textId="77777777">
            <w:pPr>
              <w:pStyle w:val="ListParagraph"/>
              <w:numPr>
                <w:ilvl w:val="0"/>
                <w:numId w:val="1"/>
              </w:numPr>
              <w:ind w:left="573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at prøvenemndene har nok kapasitet i forhold til antall prøver som avholdes i faget.</w:t>
            </w:r>
          </w:p>
          <w:p w:rsidR="00C7708F" w:rsidRPr="00C7708F" w:rsidP="00C7708F" w14:paraId="76487923" w14:textId="77777777">
            <w:pPr>
              <w:pStyle w:val="ListParagraph"/>
              <w:numPr>
                <w:ilvl w:val="0"/>
                <w:numId w:val="1"/>
              </w:numPr>
              <w:ind w:left="573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å vurdere om det skal opprettes ny</w:t>
            </w:r>
            <w:r w:rsidRPr="00C7708F">
              <w:rPr>
                <w:rFonts w:ascii="Arial" w:hAnsi="Arial" w:cs="Arial"/>
                <w:sz w:val="22"/>
                <w:szCs w:val="22"/>
              </w:rPr>
              <w:t xml:space="preserve"> prøvenemnd i eget fylke.</w:t>
            </w:r>
          </w:p>
          <w:p w:rsidR="00C7708F" w:rsidRPr="00C7708F" w:rsidP="00C7708F" w14:paraId="76487924" w14:textId="77777777">
            <w:pPr>
              <w:pStyle w:val="ListParagraph"/>
              <w:numPr>
                <w:ilvl w:val="0"/>
                <w:numId w:val="1"/>
              </w:numPr>
              <w:ind w:left="573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å vurdere prøvenemndenes behov for møter og kompetanseheving i samhandling med ansvarlig for prøvenemnder.</w:t>
            </w:r>
          </w:p>
          <w:p w:rsidR="00C7708F" w:rsidRPr="00C7708F" w:rsidP="00C7708F" w14:paraId="76487925" w14:textId="77777777">
            <w:pPr>
              <w:pStyle w:val="ListParagraph"/>
              <w:numPr>
                <w:ilvl w:val="0"/>
                <w:numId w:val="1"/>
              </w:numPr>
              <w:ind w:left="573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å følge opp at prosedyre for avvikling av fag/svenne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7708F">
              <w:rPr>
                <w:rFonts w:ascii="Arial" w:hAnsi="Arial" w:cs="Arial"/>
                <w:sz w:val="22"/>
                <w:szCs w:val="22"/>
              </w:rPr>
              <w:t xml:space="preserve"> og kompetanseprøve etterleves i prøvenemndene.</w:t>
            </w:r>
          </w:p>
          <w:p w:rsidR="00BE28FF" w:rsidRPr="00C7708F" w14:paraId="764879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48793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2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Handling</w:t>
            </w:r>
          </w:p>
          <w:p w:rsidR="00C7708F" w:rsidRPr="00C7708F" w:rsidP="00C7708F" w14:paraId="76487929" w14:textId="645E7C7F">
            <w:pPr>
              <w:ind w:firstLine="8"/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bCs/>
                <w:sz w:val="22"/>
                <w:szCs w:val="22"/>
              </w:rPr>
              <w:t>Saksbehandler skal</w:t>
            </w:r>
            <w:r w:rsidRPr="00C7708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6789">
              <w:rPr>
                <w:rFonts w:ascii="Arial" w:hAnsi="Arial" w:cs="Arial"/>
                <w:bCs/>
                <w:sz w:val="22"/>
                <w:szCs w:val="22"/>
              </w:rPr>
              <w:t xml:space="preserve">bruke </w:t>
            </w:r>
            <w:r w:rsidR="00426789">
              <w:rPr>
                <w:rFonts w:ascii="Arial" w:hAnsi="Arial" w:cs="Arial"/>
                <w:bCs/>
                <w:sz w:val="22"/>
                <w:szCs w:val="22"/>
              </w:rPr>
              <w:t>qlick</w:t>
            </w:r>
            <w:r w:rsidR="0042678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6789">
              <w:rPr>
                <w:rFonts w:ascii="Arial" w:hAnsi="Arial" w:cs="Arial"/>
                <w:bCs/>
                <w:sz w:val="22"/>
                <w:szCs w:val="22"/>
              </w:rPr>
              <w:t>sense</w:t>
            </w:r>
            <w:r w:rsidRPr="00C7708F">
              <w:rPr>
                <w:rFonts w:ascii="Arial" w:hAnsi="Arial" w:cs="Arial"/>
                <w:bCs/>
                <w:sz w:val="22"/>
                <w:szCs w:val="22"/>
              </w:rPr>
              <w:t xml:space="preserve"> for å følge med på avvikling av godkjente oppmeldinger. Ved avvik må kapasitet i nemnda vurderes</w:t>
            </w:r>
            <w:r w:rsidRPr="00C7708F">
              <w:rPr>
                <w:rFonts w:ascii="Arial" w:hAnsi="Arial" w:cs="Arial"/>
                <w:sz w:val="22"/>
                <w:szCs w:val="22"/>
              </w:rPr>
              <w:t>, samt at seksjonsleder varsles.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70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7708F" w:rsidRPr="00C7708F" w:rsidP="00C7708F" w14:paraId="7648792A" w14:textId="77777777">
            <w:pPr>
              <w:ind w:firstLine="8"/>
              <w:rPr>
                <w:rFonts w:ascii="Arial" w:hAnsi="Arial" w:cs="Arial"/>
                <w:sz w:val="22"/>
                <w:szCs w:val="22"/>
              </w:rPr>
            </w:pPr>
          </w:p>
          <w:p w:rsidR="00C7708F" w:rsidRPr="00C7708F" w:rsidP="00C7708F" w14:paraId="7648792B" w14:textId="77777777">
            <w:pPr>
              <w:ind w:firstLine="8"/>
              <w:rPr>
                <w:rFonts w:ascii="Arial" w:hAnsi="Arial" w:cs="Arial"/>
                <w:bCs/>
                <w:sz w:val="22"/>
                <w:szCs w:val="22"/>
              </w:rPr>
            </w:pPr>
            <w:r w:rsidRPr="00C7708F">
              <w:rPr>
                <w:rFonts w:ascii="Arial" w:hAnsi="Arial" w:cs="Arial"/>
                <w:bCs/>
                <w:sz w:val="22"/>
                <w:szCs w:val="22"/>
              </w:rPr>
              <w:t>Ved avvik i prosedyre for prøvenemndas oppgaver og mandat skal saksbeh</w:t>
            </w:r>
            <w:r w:rsidRPr="00C7708F">
              <w:rPr>
                <w:rFonts w:ascii="Arial" w:hAnsi="Arial" w:cs="Arial"/>
                <w:bCs/>
                <w:sz w:val="22"/>
                <w:szCs w:val="22"/>
              </w:rPr>
              <w:t>andler avdekke årsak, og sette i verk nødvendige tiltak overfor nemn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C7708F">
              <w:rPr>
                <w:rFonts w:ascii="Arial" w:hAnsi="Arial" w:cs="Arial"/>
                <w:bCs/>
                <w:sz w:val="22"/>
                <w:szCs w:val="22"/>
              </w:rPr>
              <w:t xml:space="preserve">a. </w:t>
            </w:r>
          </w:p>
          <w:p w:rsidR="00C7708F" w:rsidRPr="00C7708F" w:rsidP="00C7708F" w14:paraId="7648792C" w14:textId="77777777">
            <w:pPr>
              <w:ind w:firstLine="8"/>
              <w:rPr>
                <w:rFonts w:ascii="Arial" w:hAnsi="Arial" w:cs="Arial"/>
                <w:bCs/>
                <w:sz w:val="22"/>
                <w:szCs w:val="22"/>
              </w:rPr>
            </w:pPr>
            <w:r w:rsidRPr="00C7708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C7708F" w:rsidRPr="00C7708F" w:rsidP="00C7708F" w14:paraId="7648792D" w14:textId="77777777">
            <w:pPr>
              <w:ind w:firstLine="8"/>
              <w:rPr>
                <w:rFonts w:ascii="Arial" w:hAnsi="Arial" w:cs="Arial"/>
                <w:bCs/>
                <w:sz w:val="22"/>
                <w:szCs w:val="22"/>
              </w:rPr>
            </w:pPr>
            <w:r w:rsidRPr="00C7708F">
              <w:rPr>
                <w:rFonts w:ascii="Arial" w:hAnsi="Arial" w:cs="Arial"/>
                <w:bCs/>
                <w:sz w:val="22"/>
                <w:szCs w:val="22"/>
              </w:rPr>
              <w:t>Hvis årsaken til avviket er at en nemndsmedlem ikke har fulgt prosedyrer skal det løses ut en muntlig advarsel som dokumenteres. Ved gjentatte avvik skal det utløses en skriftlig ad</w:t>
            </w:r>
            <w:r w:rsidRPr="00C7708F">
              <w:rPr>
                <w:rFonts w:ascii="Arial" w:hAnsi="Arial" w:cs="Arial"/>
                <w:bCs/>
                <w:sz w:val="22"/>
                <w:szCs w:val="22"/>
              </w:rPr>
              <w:t>varsel før han eller hun tas ut av nemnda</w:t>
            </w:r>
          </w:p>
          <w:p w:rsidR="00C7708F" w:rsidRPr="00C7708F" w:rsidP="00C7708F" w14:paraId="7648792E" w14:textId="77777777">
            <w:pPr>
              <w:ind w:firstLine="8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7708F" w:rsidRPr="00C7708F" w:rsidP="00C7708F" w14:paraId="7648792F" w14:textId="77777777">
            <w:pPr>
              <w:ind w:firstLine="8"/>
              <w:rPr>
                <w:rFonts w:ascii="Arial" w:hAnsi="Arial" w:cs="Arial"/>
                <w:bCs/>
                <w:sz w:val="22"/>
                <w:szCs w:val="22"/>
              </w:rPr>
            </w:pPr>
            <w:r w:rsidRPr="00C7708F">
              <w:rPr>
                <w:rFonts w:ascii="Arial" w:hAnsi="Arial" w:cs="Arial"/>
                <w:bCs/>
                <w:sz w:val="22"/>
                <w:szCs w:val="22"/>
              </w:rPr>
              <w:t xml:space="preserve">Saksbehandler vurderer løpende behov for møter eller annen informasjon til prøvenemndene. </w:t>
            </w:r>
          </w:p>
          <w:p w:rsidR="00BE28FF" w:rsidRPr="00C7708F" w14:paraId="7648793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487935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3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Registreringer</w:t>
            </w:r>
          </w:p>
          <w:p w:rsidR="00BE28FF" w14:paraId="7648793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Registreres i FOKUS.</w:t>
            </w:r>
          </w:p>
          <w:p w:rsidR="00C7708F" w:rsidRPr="00C7708F" w14:paraId="7648793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487939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36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Avviksbehandling</w:t>
            </w:r>
          </w:p>
          <w:p w:rsidR="00BE28FF" w14:paraId="7648793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7708F">
              <w:rPr>
                <w:rFonts w:ascii="Arial" w:hAnsi="Arial" w:cs="Arial"/>
                <w:sz w:val="22"/>
                <w:szCs w:val="22"/>
              </w:rPr>
              <w:t>Avvik fra denne prosedyren meldes som avvik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7708F" w:rsidRPr="00C7708F" w14:paraId="764879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48793C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7708F" w14:paraId="7648793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08F">
              <w:rPr>
                <w:rFonts w:ascii="Arial" w:hAnsi="Arial" w:cs="Arial"/>
                <w:b/>
                <w:sz w:val="22"/>
                <w:szCs w:val="22"/>
              </w:rPr>
              <w:t>Distribusjon</w:t>
            </w:r>
          </w:p>
          <w:p w:rsidR="00BE28FF" w:rsidRPr="00C7708F" w14:paraId="7648793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Prosedyren sendes saksbehandlere i fagopplæring</w:t>
            </w:r>
          </w:p>
        </w:tc>
      </w:tr>
    </w:tbl>
    <w:p w:rsidR="00950BED" w14:paraId="7648793D" w14:textId="77777777">
      <w:pPr>
        <w:rPr>
          <w:rFonts w:ascii="Verdana" w:hAnsi="Verdana"/>
          <w:sz w:val="20"/>
        </w:rPr>
      </w:pPr>
    </w:p>
    <w:p w:rsidR="00950BED" w14:paraId="7648793E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76487942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76487943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76487946" w14:textId="77777777">
      <w:pPr>
        <w:rPr>
          <w:rFonts w:ascii="Verdana" w:hAnsi="Verdana"/>
          <w:sz w:val="20"/>
        </w:rPr>
      </w:pPr>
      <w:bookmarkEnd w:id="2"/>
    </w:p>
    <w:p w:rsidR="00071546" w14:paraId="76487947" w14:textId="77777777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6487954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6487955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6487957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75FE" w14:paraId="764879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7648794E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D83A17" w14:paraId="7648794B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Oppfølging av prøvenemnder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D83A17" w:rsidRPr="00554977" w14:paraId="7648794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D83A17" w:rsidRPr="00554977" w:rsidP="00554977" w14:paraId="7648794D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D11376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6487952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D83A17" w14:paraId="7648794F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D83A17" w14:paraId="76487950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D83A17" w:rsidP="00554977" w14:paraId="76487951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1.04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76487953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2A3462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2A3462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75FE" w14:paraId="764879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DD13F0"/>
    <w:multiLevelType w:val="hybridMultilevel"/>
    <w:tmpl w:val="D01653A6"/>
    <w:lvl w:ilvl="0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6565"/>
    <w:rsid w:val="00071546"/>
    <w:rsid w:val="002756E6"/>
    <w:rsid w:val="00294CA4"/>
    <w:rsid w:val="002A3462"/>
    <w:rsid w:val="002F3AFA"/>
    <w:rsid w:val="00393257"/>
    <w:rsid w:val="003975FE"/>
    <w:rsid w:val="00400564"/>
    <w:rsid w:val="00410E58"/>
    <w:rsid w:val="00426789"/>
    <w:rsid w:val="00473CC8"/>
    <w:rsid w:val="004A7C7D"/>
    <w:rsid w:val="005454FA"/>
    <w:rsid w:val="00554977"/>
    <w:rsid w:val="00577D7C"/>
    <w:rsid w:val="006148B8"/>
    <w:rsid w:val="006826F6"/>
    <w:rsid w:val="00775F37"/>
    <w:rsid w:val="007772E0"/>
    <w:rsid w:val="00783FA1"/>
    <w:rsid w:val="007E2DA8"/>
    <w:rsid w:val="008061D1"/>
    <w:rsid w:val="008C5025"/>
    <w:rsid w:val="00950BED"/>
    <w:rsid w:val="009B650A"/>
    <w:rsid w:val="009E2666"/>
    <w:rsid w:val="009F1C78"/>
    <w:rsid w:val="00AC7BAE"/>
    <w:rsid w:val="00B04A20"/>
    <w:rsid w:val="00B66089"/>
    <w:rsid w:val="00B92D3C"/>
    <w:rsid w:val="00BE28FF"/>
    <w:rsid w:val="00C10ACA"/>
    <w:rsid w:val="00C669AF"/>
    <w:rsid w:val="00C7708F"/>
    <w:rsid w:val="00CA5491"/>
    <w:rsid w:val="00CD693E"/>
    <w:rsid w:val="00D54614"/>
    <w:rsid w:val="00D83A17"/>
    <w:rsid w:val="00DE6341"/>
    <w:rsid w:val="00E80608"/>
    <w:rsid w:val="00E854C9"/>
    <w:rsid w:val="00E925B3"/>
    <w:rsid w:val="00ED28BA"/>
    <w:rsid w:val="00EF4A28"/>
    <w:rsid w:val="00F03C5A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nte Strømmen-Bakhtiar"/>
    <w:docVar w:name="ek_dbfields" w:val="EK_Avdeling¤2#4¤2# ¤3#EK_Avsnitt¤2#4¤2# ¤3#EK_Bedriftsnavn¤2#1¤2#Nordland fylkeskommune¤3#EK_GjelderFra¤2#0¤2#30.09.2020¤3#EK_KlGjelderFra¤2#0¤2#¤3#EK_Opprettet¤2#0¤2#08.05.2018¤3#EK_Utgitt¤2#0¤2#08.05.2018¤3#EK_IBrukDato¤2#0¤2#30.09.2020¤3#EK_DokumentID¤2#0¤2#D11376¤3#EK_DokTittel¤2#0¤2#Oppfølging av prøvenemnder¤3#EK_DokType¤2#0¤2#Prosedyre¤3#EK_DocLvlShort¤2#0¤2# ¤3#EK_DocLevel¤2#0¤2# ¤3#EK_EksRef¤2#2¤2# 0_x0009_¤3#EK_Erstatter¤2#0¤2#1.00¤3#EK_ErstatterD¤2#0¤2#08.05.2018¤3#EK_Signatur¤2#0¤2#Torild Birgitte NIlsen¤3#EK_Verifisert¤2#0¤2# ¤3#EK_Hørt¤2#0¤2# ¤3#EK_AuditReview¤2#2¤2# ¤3#EK_AuditApprove¤2#2¤2# ¤3#EK_Gradering¤2#0¤2#Åpen¤3#EK_Gradnr¤2#4¤2#0¤3#EK_Kapittel¤2#4¤2# ¤3#EK_Referanse¤2#2¤2# 0_x0009_¤3#EK_RefNr¤2#0¤2#.UTA.2.4.1.6.9¤3#EK_Revisjon¤2#0¤2#1.01¤3#EK_Ansvarlig¤2#0¤2#Bente Strømmen-Bakhtiar¤3#EK_SkrevetAv¤2#0¤2#Trine Ludvik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Forlenget gyldighet til 30.09.2022¤3#EK_VerLogg¤2#2¤2#Ver. 1.01 - 30.09.2020|Forlenget gyldighet til 30.09.2022¤1#Ver. 1.00 - 09.05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30.09.2022¤3#EK_Vedlegg¤2#2¤2# 0_x0009_¤3#EK_AvdelingOver¤2#4¤2# ¤3#EK_HRefNr¤2#0¤2# ¤3#EK_HbNavn¤2#0¤2# ¤3#EK_DokRefnr¤2#4¤2#0001070202040106¤3#EK_Dokendrdato¤2#4¤2#30.09.2020 13:24:33¤3#EK_HbType¤2#4¤2# ¤3#EK_Offisiell¤2#4¤2# ¤3#EK_VedleggRef¤2#4¤2#.UTA.2.4.1.6.9¤3#EK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6¤5#Prøvenemd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6¤5#Prøvenemd¤5#0¤5#0¤4#§¤3#"/>
    <w:docVar w:name="ek_dl" w:val="9"/>
    <w:docVar w:name="ek_doclevel" w:val=" "/>
    <w:docVar w:name="ek_doclvlshort" w:val=" "/>
    <w:docVar w:name="ek_dokansvnavn" w:val=" "/>
    <w:docVar w:name="ek_doktittel" w:val="Oppfølging av prøvenemnder"/>
    <w:docVar w:name="ek_doktype" w:val="Prosedyre"/>
    <w:docVar w:name="ek_dokumentid" w:val="D11376"/>
    <w:docVar w:name="ek_erstatter" w:val="1.00"/>
    <w:docVar w:name="ek_erstatterd" w:val="08.05.2018"/>
    <w:docVar w:name="ek_format" w:val="-10"/>
    <w:docVar w:name="ek_gjelderfra" w:val="30.09.2020"/>
    <w:docVar w:name="ek_gjeldertil" w:val="30.09.2022"/>
    <w:docVar w:name="ek_gradering" w:val="Åpen"/>
    <w:docVar w:name="ek_hbnavn" w:val=" "/>
    <w:docVar w:name="ek_hrefnr" w:val=" "/>
    <w:docVar w:name="ek_hørt" w:val=" "/>
    <w:docVar w:name="ek_ibrukdato" w:val="30.09.2020"/>
    <w:docVar w:name="ek_merknad" w:val="Forlenget gyldighet til 30.09.2022"/>
    <w:docVar w:name="ek_opprettet" w:val="08.05.2018"/>
    <w:docVar w:name="ek_rapport" w:val="[]"/>
    <w:docVar w:name="ek_refnr" w:val=".UTA.2.4.1.6.9"/>
    <w:docVar w:name="ek_revisjon" w:val="1.01"/>
    <w:docVar w:name="ek_signatur" w:val="Torild Birgitte NIlsen"/>
    <w:docVar w:name="ek_skrevetav" w:val="Trine Ludvikse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08.05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4878F5"/>
  <w15:docId w15:val="{F375E04F-D6DB-4EB8-B7DA-5BB7C0F3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jasam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10</TotalTime>
  <Pages>1</Pages>
  <Words>238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Oppfølging av prøvenemnder</vt:lpstr>
      <vt:lpstr>Standard</vt:lpstr>
    </vt:vector>
  </TitlesOfParts>
  <Company>Datakvalitet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Oppfølging av prøvenemnder</dc:title>
  <dc:subject>0001070202040106|.UTA.2.4.1.6.9|</dc:subject>
  <dc:creator>Handbok</dc:creator>
  <dc:description>EK_Avdeling_x0002_4_x0002_ _x0003_EK_Avsnitt_x0002_4_x0002_ _x0003_EK_Bedriftsnavn_x0002_1_x0002_Nordland fylkeskommune_x0003_EK_GjelderFra_x0002_0_x0002_30.09.2020_x0003_EK_KlGjelderFra_x0002_0_x0002__x0003_EK_Opprettet_x0002_0_x0002_08.05.2018_x0003_EK_Utgitt_x0002_0_x0002_08.05.2018_x0003_EK_IBrukDato_x0002_0_x0002_30.09.2020_x0003_EK_DokumentID_x0002_0_x0002_D11376_x0003_EK_DokTittel_x0002_0_x0002_Oppfølging av prøvenemnder_x0003_EK_DokType_x0002_0_x0002_Prosedyre_x0003_EK_DocLvlShort_x0002_0_x0002_ _x0003_EK_DocLevel_x0002_0_x0002_ _x0003_EK_EksRef_x0002_2_x0002_ 0	_x0003_EK_Erstatter_x0002_0_x0002_1.00_x0003_EK_ErstatterD_x0002_0_x0002_08.05.2018_x0003_EK_Signatur_x0002_0_x0002_Torild Birgitte NIlsen_x0003_EK_Verifisert_x0002_0_x0002_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_x0003_EK_RefNr_x0002_0_x0002_.UTA.2.4.1.6.9_x0003_EK_Revisjon_x0002_0_x0002_1.01_x0003_EK_Ansvarlig_x0002_0_x0002_Bente Strømmen-Bakhtiar_x0003_EK_SkrevetAv_x0002_0_x0002_Trine Ludviksen_x0003_EK_UText1_x0002_0_x0002_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utskriftsdato_x0003_EK_Watermark_x0002_0_x0002__x0003_EK_Utgave_x0002_0_x0002_1.01_x0003_EK_Merknad_x0002_7_x0002_Forlenget gyldighet til 30.09.2022_x0003_EK_VerLogg_x0002_2_x0002_Ver. 1.01 - 30.09.2020|Forlenget gyldighet til 30.09.2022_x0001_Ver. 1.00 - 09.05.2018|_x0003_EK_RF1_x0002_4_x0002_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_x0003_EK_DL_x0002_0_x0002_9_x0003_EK_GjelderTil_x0002_0_x0002_30.09.2022_x0003_EK_Vedlegg_x0002_2_x0002_ 0	_x0003_EK_AvdelingOver_x0002_4_x0002_ _x0003_EK_HRefNr_x0002_0_x0002_ _x0003_EK_HbNavn_x0002_0_x0002_ _x0003_EK_DokRefnr_x0002_4_x0002_0001070202040106_x0003_EK_Dokendrdato_x0002_4_x0002_30.09.2020 13:24:33_x0003_EK_HbType_x0002_4_x0002_ _x0003_EK_Offisiell_x0002_4_x0002_ _x0003_EK_VedleggRef_x0002_4_x0002_.UTA.2.4.1.6.9_x0003_EK_Strukt00_x0002_5_x0002__x0005__x0005_Kapittelstrukturen_x0005_0_x0005_0_x0004__x0005__x0005_Utdanning og kompetanse_x0005_2_x0005_0_x0004_._x0005_UTA_x0005_Avdeling for utdanning og kompetanse_x0005_2_x0005_0_x0004_._x0005_2_x0005_Hovedprosesser/seksjoner_x0005_0_x0005_0_x0004_._x0005_4_x0005_Fag- og yrkesopplæring_x0005_0_x0005_0_x0004_._x0005_1_x0005_Hovedaktiviteter i fagopplæring_x0005_0_x0005_0_x0004_._x0005_6_x0005_Prøvenemd_x0005_0_x0005_0_x0004_§_x0003_EK_Pub_x0002_6_x0002_;15;18;_x0003_EKR_DokType_x0002_0_x0002_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_x0003_EKR_Strukt00_x0002_5_x0002__x0005__x0005_Kapittelstrukturen_x0005_0_x0005_0_x0004__x0005__x0005_Utdanning og kompetanse_x0005_2_x0005_0_x0004_._x0005_UTA_x0005_Avdeling for utdanning og kompetanse_x0005_2_x0005_0_x0004_._x0005_2_x0005_Hovedprosesser/seksjoner_x0005_0_x0005_0_x0004_._x0005_4_x0005_Fag- og yrkesopplæring_x0005_0_x0005_0_x0004_._x0005_1_x0005_Hovedaktiviteter i fagopplæring_x0005_0_x0005_0_x0004_._x0005_6_x0005_Prøvenemd_x0005_0_x0005_0_x0004_§_x0003_</dc:description>
  <cp:lastModifiedBy>Trine Ludviksen</cp:lastModifiedBy>
  <cp:revision>3</cp:revision>
  <dcterms:created xsi:type="dcterms:W3CDTF">2020-09-30T11:24:00Z</dcterms:created>
  <dcterms:modified xsi:type="dcterms:W3CDTF">2022-11-15T08:17:00Z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Oppfølging av prøvenemnder</vt:lpwstr>
  </property>
  <property fmtid="{D5CDD505-2E9C-101B-9397-08002B2CF9AE}" pid="4" name="EK_DokumentID">
    <vt:lpwstr>D11376</vt:lpwstr>
  </property>
  <property fmtid="{D5CDD505-2E9C-101B-9397-08002B2CF9AE}" pid="5" name="EK_GjelderFra">
    <vt:lpwstr>30.09.2022</vt:lpwstr>
  </property>
  <property fmtid="{D5CDD505-2E9C-101B-9397-08002B2CF9AE}" pid="6" name="EK_Signatur">
    <vt:lpwstr>Torild Birgitte NIlsen</vt:lpwstr>
  </property>
  <property fmtid="{D5CDD505-2E9C-101B-9397-08002B2CF9AE}" pid="7" name="EK_SkrevetAv">
    <vt:lpwstr>Trine Ludviksen</vt:lpwstr>
  </property>
  <property fmtid="{D5CDD505-2E9C-101B-9397-08002B2CF9AE}" pid="8" name="EK_Utgave">
    <vt:lpwstr>1.04</vt:lpwstr>
  </property>
  <property fmtid="{D5CDD505-2E9C-101B-9397-08002B2CF9AE}" pid="9" name="EK_Watermark">
    <vt:lpwstr/>
  </property>
</Properties>
</file>