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4394"/>
        <w:gridCol w:w="425"/>
        <w:gridCol w:w="567"/>
        <w:gridCol w:w="1560"/>
      </w:tblGrid>
      <w:tr w14:paraId="4CCFB010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276"/>
        </w:trPr>
        <w:tc>
          <w:tcPr>
            <w:tcW w:w="2622" w:type="dxa"/>
            <w:vMerge w:val="restart"/>
          </w:tcPr>
          <w:p w:rsidR="004A4EC5" w14:paraId="4CCFB00C" w14:textId="77777777">
            <w:pPr>
              <w:pStyle w:val="Header"/>
              <w:tabs>
                <w:tab w:val="num" w:pos="1080"/>
              </w:tabs>
              <w:spacing w:before="60"/>
              <w:rPr>
                <w:sz w:val="32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544955" cy="473075"/>
                  <wp:effectExtent l="0" t="0" r="0" b="0"/>
                  <wp:docPr id="1" name="Bilde 1" descr="NF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F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95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  <w:vAlign w:val="center"/>
          </w:tcPr>
          <w:p w:rsidR="004A4EC5" w14:paraId="4CCFB00D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82A3"/>
                <w:sz w:val="32"/>
              </w:rPr>
              <w:fldChar w:fldCharType="begin" w:fldLock="1"/>
            </w:r>
            <w:r>
              <w:rPr>
                <w:rFonts w:ascii="Verdana" w:hAnsi="Verdana"/>
                <w:b/>
                <w:bCs/>
                <w:color w:val="0082A3"/>
                <w:sz w:val="32"/>
              </w:rPr>
              <w:instrText xml:space="preserve"> DOCPROPERTY EK_DokTittel </w:instrText>
            </w:r>
            <w:r>
              <w:rPr>
                <w:rFonts w:ascii="Verdana" w:hAnsi="Verdana"/>
                <w:b/>
                <w:bCs/>
                <w:color w:val="0082A3"/>
                <w:sz w:val="32"/>
              </w:rPr>
              <w:fldChar w:fldCharType="separate"/>
            </w:r>
            <w:r>
              <w:rPr>
                <w:rFonts w:ascii="Verdana" w:hAnsi="Verdana"/>
                <w:b/>
                <w:bCs/>
                <w:color w:val="0082A3"/>
                <w:sz w:val="32"/>
              </w:rPr>
              <w:t>Samfunnsansvar i offentlige anskaffelser</w:t>
            </w:r>
            <w:r>
              <w:rPr>
                <w:rFonts w:ascii="Verdana" w:hAnsi="Verdana"/>
                <w:b/>
                <w:bCs/>
                <w:color w:val="0082A3"/>
                <w:sz w:val="3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A4EC5" w14:paraId="4CCFB00E" w14:textId="77777777">
            <w:pPr>
              <w:pStyle w:val="Footer"/>
              <w:rPr>
                <w:rFonts w:ascii="Verdana" w:hAnsi="Verdana"/>
                <w:b/>
                <w:bCs/>
                <w:color w:val="000080"/>
                <w:sz w:val="16"/>
              </w:rPr>
            </w:pPr>
            <w:r>
              <w:rPr>
                <w:rFonts w:ascii="Verdana" w:hAnsi="Verdana"/>
                <w:b/>
                <w:bCs/>
                <w:sz w:val="16"/>
              </w:rPr>
              <w:t xml:space="preserve">ID  </w:t>
            </w:r>
          </w:p>
        </w:tc>
        <w:tc>
          <w:tcPr>
            <w:tcW w:w="2127" w:type="dxa"/>
            <w:gridSpan w:val="2"/>
            <w:vAlign w:val="center"/>
          </w:tcPr>
          <w:p w:rsidR="004A4EC5" w14:paraId="4CCFB00F" w14:textId="77777777">
            <w:pPr>
              <w:pStyle w:val="Footer"/>
              <w:rPr>
                <w:rFonts w:ascii="Verdana" w:hAnsi="Verdana"/>
                <w:b/>
                <w:bCs/>
                <w:color w:val="000080"/>
                <w:sz w:val="16"/>
              </w:rPr>
            </w:pP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begin" w:fldLock="1"/>
            </w:r>
            <w:r w:rsidR="0030197E">
              <w:rPr>
                <w:rFonts w:ascii="Verdana" w:hAnsi="Verdana"/>
                <w:b/>
                <w:bCs/>
                <w:color w:val="0082A3"/>
                <w:sz w:val="16"/>
              </w:rPr>
              <w:instrText>DOCPROPERTY EK_DokumentID</w:instrText>
            </w: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separate"/>
            </w:r>
            <w:r w:rsidR="0030197E">
              <w:rPr>
                <w:rFonts w:ascii="Verdana" w:hAnsi="Verdana"/>
                <w:b/>
                <w:bCs/>
                <w:color w:val="0082A3"/>
                <w:sz w:val="16"/>
              </w:rPr>
              <w:t>D07346</w:t>
            </w:r>
            <w:r>
              <w:rPr>
                <w:rFonts w:ascii="Verdana" w:hAnsi="Verdana"/>
                <w:b/>
                <w:bCs/>
                <w:color w:val="0082A3"/>
                <w:sz w:val="16"/>
              </w:rPr>
              <w:fldChar w:fldCharType="end"/>
            </w:r>
          </w:p>
        </w:tc>
      </w:tr>
      <w:tr w14:paraId="4CCFB015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51"/>
        </w:trPr>
        <w:tc>
          <w:tcPr>
            <w:tcW w:w="2622" w:type="dxa"/>
            <w:vMerge/>
          </w:tcPr>
          <w:p w:rsidR="004A4EC5" w14:paraId="4CCFB011" w14:textId="77777777">
            <w:pPr>
              <w:pStyle w:val="Header"/>
              <w:tabs>
                <w:tab w:val="num" w:pos="1080"/>
              </w:tabs>
            </w:pPr>
          </w:p>
        </w:tc>
        <w:tc>
          <w:tcPr>
            <w:tcW w:w="4394" w:type="dxa"/>
            <w:vMerge/>
          </w:tcPr>
          <w:p w:rsidR="004A4EC5" w14:paraId="4CCFB012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0099CC"/>
                <w:sz w:val="32"/>
              </w:rPr>
            </w:pPr>
          </w:p>
        </w:tc>
        <w:tc>
          <w:tcPr>
            <w:tcW w:w="992" w:type="dxa"/>
            <w:gridSpan w:val="2"/>
          </w:tcPr>
          <w:p w:rsidR="004A4EC5" w14:paraId="4CCFB013" w14:textId="77777777">
            <w:pPr>
              <w:pStyle w:val="Foo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Versjon </w:t>
            </w:r>
          </w:p>
        </w:tc>
        <w:tc>
          <w:tcPr>
            <w:tcW w:w="1560" w:type="dxa"/>
          </w:tcPr>
          <w:p w:rsidR="004A4EC5" w14:paraId="4CCFB014" w14:textId="77777777">
            <w:pPr>
              <w:pStyle w:val="Footer"/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EK_Utgave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3.01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4CCFB01A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62"/>
        </w:trPr>
        <w:tc>
          <w:tcPr>
            <w:tcW w:w="2622" w:type="dxa"/>
            <w:vMerge/>
          </w:tcPr>
          <w:p w:rsidR="004A4EC5" w14:paraId="4CCFB016" w14:textId="77777777">
            <w:pPr>
              <w:rPr>
                <w:sz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A4EC5" w14:paraId="4CCFB017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0099CC"/>
                <w:sz w:val="32"/>
              </w:rPr>
            </w:pPr>
          </w:p>
        </w:tc>
        <w:tc>
          <w:tcPr>
            <w:tcW w:w="992" w:type="dxa"/>
            <w:gridSpan w:val="2"/>
          </w:tcPr>
          <w:p w:rsidR="004A4EC5" w14:paraId="4CCFB018" w14:textId="77777777">
            <w:pPr>
              <w:pStyle w:val="Foo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Gyldig fra</w:t>
            </w:r>
          </w:p>
        </w:tc>
        <w:tc>
          <w:tcPr>
            <w:tcW w:w="1560" w:type="dxa"/>
          </w:tcPr>
          <w:p w:rsidR="004A4EC5" w14:paraId="4CCFB019" w14:textId="77777777">
            <w:pPr>
              <w:pStyle w:val="Footer"/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EK_GjelderFra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04.06.2025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4CCFB01F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33"/>
        </w:trPr>
        <w:tc>
          <w:tcPr>
            <w:tcW w:w="2622" w:type="dxa"/>
            <w:vMerge/>
            <w:vAlign w:val="center"/>
          </w:tcPr>
          <w:p w:rsidR="004A4EC5" w14:paraId="4CCFB01B" w14:textId="77777777">
            <w:pPr>
              <w:rPr>
                <w:sz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A4EC5" w14:paraId="4CCFB01C" w14:textId="77777777">
            <w:pPr>
              <w:pStyle w:val="Header"/>
              <w:tabs>
                <w:tab w:val="num" w:pos="1080"/>
              </w:tabs>
              <w:ind w:left="284" w:right="284"/>
              <w:jc w:val="center"/>
              <w:rPr>
                <w:b/>
                <w:bCs/>
                <w:color w:val="A3CED5"/>
              </w:rPr>
            </w:pPr>
          </w:p>
        </w:tc>
        <w:tc>
          <w:tcPr>
            <w:tcW w:w="992" w:type="dxa"/>
            <w:gridSpan w:val="2"/>
          </w:tcPr>
          <w:p w:rsidR="004A4EC5" w14:paraId="4CCFB01D" w14:textId="77777777">
            <w:pPr>
              <w:pStyle w:val="Foo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Utarbeider</w:t>
            </w:r>
          </w:p>
        </w:tc>
        <w:tc>
          <w:tcPr>
            <w:tcW w:w="1560" w:type="dxa"/>
          </w:tcPr>
          <w:p w:rsidR="004A4EC5" w14:paraId="4CCFB01E" w14:textId="77777777">
            <w:pPr>
              <w:pStyle w:val="Footer"/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EK_SkrevetAv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Hans Jørgen Kibsgaard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4CCFB024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71"/>
        </w:trPr>
        <w:tc>
          <w:tcPr>
            <w:tcW w:w="2622" w:type="dxa"/>
            <w:vMerge/>
            <w:vAlign w:val="center"/>
          </w:tcPr>
          <w:p w:rsidR="004A4EC5" w14:paraId="4CCFB020" w14:textId="77777777">
            <w:pPr>
              <w:rPr>
                <w:sz w:val="32"/>
              </w:rPr>
            </w:pPr>
          </w:p>
        </w:tc>
        <w:tc>
          <w:tcPr>
            <w:tcW w:w="4394" w:type="dxa"/>
            <w:vMerge/>
            <w:vAlign w:val="center"/>
          </w:tcPr>
          <w:p w:rsidR="004A4EC5" w14:paraId="4CCFB021" w14:textId="77777777">
            <w:pPr>
              <w:pStyle w:val="Header"/>
              <w:tabs>
                <w:tab w:val="num" w:pos="1080"/>
              </w:tabs>
              <w:rPr>
                <w:b/>
                <w:bCs/>
                <w:color w:val="0099CC"/>
                <w:sz w:val="32"/>
              </w:rPr>
            </w:pPr>
          </w:p>
        </w:tc>
        <w:tc>
          <w:tcPr>
            <w:tcW w:w="992" w:type="dxa"/>
            <w:gridSpan w:val="2"/>
          </w:tcPr>
          <w:p w:rsidR="004A4EC5" w14:paraId="4CCFB022" w14:textId="77777777">
            <w:pPr>
              <w:pStyle w:val="Header"/>
              <w:tabs>
                <w:tab w:val="num" w:pos="1080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Godkjent </w:t>
            </w:r>
          </w:p>
        </w:tc>
        <w:tc>
          <w:tcPr>
            <w:tcW w:w="1560" w:type="dxa"/>
          </w:tcPr>
          <w:p w:rsidR="004A4EC5" w14:paraId="4CCFB023" w14:textId="77777777">
            <w:pPr>
              <w:pStyle w:val="Header"/>
              <w:tabs>
                <w:tab w:val="num" w:pos="1080"/>
              </w:tabs>
              <w:rPr>
                <w:rFonts w:ascii="Verdana" w:hAnsi="Verdana"/>
                <w:color w:val="0082A3"/>
                <w:sz w:val="16"/>
              </w:rPr>
            </w:pPr>
            <w:r>
              <w:rPr>
                <w:rFonts w:ascii="Verdana" w:hAnsi="Verdana"/>
                <w:color w:val="0082A3"/>
                <w:sz w:val="16"/>
              </w:rPr>
              <w:fldChar w:fldCharType="begin" w:fldLock="1"/>
            </w:r>
            <w:r>
              <w:rPr>
                <w:rFonts w:ascii="Verdana" w:hAnsi="Verdana"/>
                <w:color w:val="0082A3"/>
                <w:sz w:val="16"/>
              </w:rPr>
              <w:instrText xml:space="preserve"> DOCPROPERTY EK_Signatur </w:instrText>
            </w:r>
            <w:r>
              <w:rPr>
                <w:rFonts w:ascii="Verdana" w:hAnsi="Verdana"/>
                <w:color w:val="0082A3"/>
                <w:sz w:val="16"/>
              </w:rPr>
              <w:fldChar w:fldCharType="separate"/>
            </w:r>
            <w:r>
              <w:rPr>
                <w:rFonts w:ascii="Verdana" w:hAnsi="Verdana"/>
                <w:color w:val="0082A3"/>
                <w:sz w:val="16"/>
              </w:rPr>
              <w:t>Hans Jørgen Kibsgaard</w:t>
            </w:r>
            <w:r>
              <w:rPr>
                <w:rFonts w:ascii="Verdana" w:hAnsi="Verdana"/>
                <w:color w:val="0082A3"/>
                <w:sz w:val="16"/>
              </w:rPr>
              <w:fldChar w:fldCharType="end"/>
            </w:r>
          </w:p>
        </w:tc>
      </w:tr>
      <w:tr w14:paraId="4CCFB029" w14:textId="77777777">
        <w:tblPrEx>
          <w:tblW w:w="9568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2622" w:type="dxa"/>
            <w:vMerge/>
            <w:vAlign w:val="center"/>
          </w:tcPr>
          <w:p w:rsidR="004A4EC5" w14:paraId="4CCFB025" w14:textId="77777777">
            <w:pPr>
              <w:rPr>
                <w:sz w:val="32"/>
              </w:rPr>
            </w:pPr>
          </w:p>
        </w:tc>
        <w:tc>
          <w:tcPr>
            <w:tcW w:w="4394" w:type="dxa"/>
            <w:vMerge/>
          </w:tcPr>
          <w:p w:rsidR="004A4EC5" w14:paraId="4CCFB026" w14:textId="77777777">
            <w:pPr>
              <w:pStyle w:val="Header"/>
              <w:tabs>
                <w:tab w:val="num" w:pos="1080"/>
              </w:tabs>
              <w:rPr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4A4EC5" w14:paraId="4CCFB027" w14:textId="77777777">
            <w:pPr>
              <w:pStyle w:val="Header"/>
              <w:tabs>
                <w:tab w:val="num" w:pos="1080"/>
              </w:tabs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Side</w:t>
            </w:r>
          </w:p>
        </w:tc>
        <w:tc>
          <w:tcPr>
            <w:tcW w:w="1560" w:type="dxa"/>
          </w:tcPr>
          <w:p w:rsidR="004A4EC5" w14:paraId="4CCFB028" w14:textId="77777777">
            <w:pPr>
              <w:pStyle w:val="Header"/>
              <w:tabs>
                <w:tab w:val="num" w:pos="1080"/>
              </w:tabs>
              <w:rPr>
                <w:rFonts w:ascii="Verdana" w:hAnsi="Verdana"/>
                <w:sz w:val="16"/>
              </w:rPr>
            </w:pPr>
            <w:r>
              <w:rPr>
                <w:rStyle w:val="PageNumber"/>
                <w:rFonts w:ascii="Verdana" w:hAnsi="Verdana"/>
                <w:sz w:val="16"/>
              </w:rPr>
              <w:fldChar w:fldCharType="begin"/>
            </w:r>
            <w:r>
              <w:rPr>
                <w:rStyle w:val="PageNumber"/>
                <w:rFonts w:ascii="Verdana" w:hAnsi="Verdana"/>
                <w:sz w:val="16"/>
              </w:rPr>
              <w:instrText xml:space="preserve"> PAGE </w:instrText>
            </w:r>
            <w:r>
              <w:rPr>
                <w:rStyle w:val="PageNumber"/>
                <w:rFonts w:ascii="Verdana" w:hAnsi="Verdana"/>
                <w:sz w:val="16"/>
              </w:rPr>
              <w:fldChar w:fldCharType="separate"/>
            </w:r>
            <w:r>
              <w:rPr>
                <w:rStyle w:val="PageNumber"/>
                <w:rFonts w:ascii="Verdana" w:hAnsi="Verdana"/>
                <w:sz w:val="16"/>
              </w:rPr>
              <w:t>1</w:t>
            </w:r>
            <w:r>
              <w:rPr>
                <w:rStyle w:val="PageNumber"/>
                <w:rFonts w:ascii="Verdana" w:hAnsi="Verdana"/>
                <w:sz w:val="16"/>
              </w:rPr>
              <w:fldChar w:fldCharType="end"/>
            </w:r>
            <w:r>
              <w:rPr>
                <w:rStyle w:val="PageNumber"/>
                <w:rFonts w:ascii="Verdana" w:hAnsi="Verdana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av</w:t>
            </w:r>
            <w:r>
              <w:rPr>
                <w:rStyle w:val="PageNumber"/>
                <w:rFonts w:ascii="Verdana" w:hAnsi="Verdana"/>
                <w:sz w:val="16"/>
              </w:rPr>
              <w:fldChar w:fldCharType="begin"/>
            </w:r>
            <w:r>
              <w:rPr>
                <w:rStyle w:val="PageNumber"/>
                <w:rFonts w:ascii="Verdana" w:hAnsi="Verdana"/>
                <w:sz w:val="16"/>
              </w:rPr>
              <w:instrText xml:space="preserve"> NUMPAGES </w:instrText>
            </w:r>
            <w:r>
              <w:rPr>
                <w:rStyle w:val="PageNumber"/>
                <w:rFonts w:ascii="Verdana" w:hAnsi="Verdana"/>
                <w:sz w:val="16"/>
              </w:rPr>
              <w:fldChar w:fldCharType="separate"/>
            </w:r>
            <w:r>
              <w:rPr>
                <w:rStyle w:val="PageNumber"/>
                <w:rFonts w:ascii="Verdana" w:hAnsi="Verdana"/>
                <w:sz w:val="16"/>
              </w:rPr>
              <w:t>2</w:t>
            </w:r>
            <w:r>
              <w:rPr>
                <w:rStyle w:val="PageNumber"/>
                <w:rFonts w:ascii="Verdana" w:hAnsi="Verdana"/>
                <w:sz w:val="16"/>
              </w:rPr>
              <w:fldChar w:fldCharType="end"/>
            </w:r>
          </w:p>
        </w:tc>
      </w:tr>
    </w:tbl>
    <w:p w:rsidR="004A4EC5" w14:paraId="4CCFB02A" w14:textId="77777777">
      <w:pPr>
        <w:pStyle w:val="Header"/>
        <w:rPr>
          <w:rFonts w:ascii="Verdana" w:hAnsi="Verdana"/>
          <w:sz w:val="20"/>
        </w:rPr>
      </w:pPr>
    </w:p>
    <w:p w:rsidR="004A4EC5" w14:paraId="4CCFB02B" w14:textId="77777777">
      <w:pPr>
        <w:pStyle w:val="Header"/>
        <w:rPr>
          <w:rFonts w:ascii="Verdana" w:hAnsi="Verdana"/>
          <w:sz w:val="20"/>
        </w:rPr>
      </w:pPr>
    </w:p>
    <w:p w:rsidR="004A4EC5" w14:paraId="4CCFB02C" w14:textId="77777777">
      <w:pPr>
        <w:pStyle w:val="Header"/>
        <w:rPr>
          <w:rFonts w:ascii="Verdana" w:hAnsi="Verdana"/>
          <w:sz w:val="20"/>
        </w:rPr>
      </w:pPr>
    </w:p>
    <w:p w:rsidR="004A4EC5" w14:paraId="4CCFB02D" w14:textId="77777777">
      <w:pPr>
        <w:ind w:left="2127" w:hanging="2127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Formål</w:t>
      </w:r>
      <w:r>
        <w:rPr>
          <w:rFonts w:ascii="Verdana" w:hAnsi="Verdana"/>
          <w:sz w:val="20"/>
        </w:rPr>
        <w:tab/>
      </w:r>
      <w:r w:rsidR="002C683D">
        <w:rPr>
          <w:rFonts w:ascii="Verdana" w:hAnsi="Verdana"/>
          <w:sz w:val="20"/>
        </w:rPr>
        <w:t>Formålet med denne prosedyrer er å sikre at samfunnsansvar blir ivaretatt i offentlige anskaffelser som Nordland fylkeskommune gjennomfører, eller som andre organer gjennomfører for Nordland fylkeskommune.</w:t>
      </w:r>
    </w:p>
    <w:p w:rsidR="004A4EC5" w14:paraId="4CCFB02E" w14:textId="77777777">
      <w:pPr>
        <w:ind w:left="2127" w:hanging="2127"/>
        <w:rPr>
          <w:rFonts w:ascii="Verdana" w:hAnsi="Verdana"/>
          <w:sz w:val="20"/>
        </w:rPr>
      </w:pPr>
    </w:p>
    <w:p w:rsidR="004A4EC5" w14:paraId="4CCFB02F" w14:textId="77777777">
      <w:pPr>
        <w:ind w:left="2127" w:hanging="2127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Omfang</w:t>
      </w:r>
      <w:r>
        <w:rPr>
          <w:rFonts w:ascii="Verdana" w:hAnsi="Verdana"/>
          <w:b/>
          <w:bCs/>
          <w:sz w:val="20"/>
        </w:rPr>
        <w:tab/>
      </w:r>
      <w:r w:rsidRPr="002C683D" w:rsidR="002C683D">
        <w:rPr>
          <w:rFonts w:ascii="Verdana" w:hAnsi="Verdana"/>
          <w:bCs/>
          <w:sz w:val="20"/>
        </w:rPr>
        <w:t>Prosedyren omfatter alle anskaffelser over</w:t>
      </w:r>
      <w:r w:rsidR="002C683D">
        <w:rPr>
          <w:rFonts w:ascii="Verdana" w:hAnsi="Verdana"/>
          <w:b/>
          <w:bCs/>
          <w:sz w:val="20"/>
        </w:rPr>
        <w:t xml:space="preserve"> </w:t>
      </w:r>
      <w:r w:rsidRPr="002C683D" w:rsidR="002C683D">
        <w:rPr>
          <w:rFonts w:ascii="Verdana" w:hAnsi="Verdana"/>
          <w:bCs/>
          <w:sz w:val="20"/>
        </w:rPr>
        <w:t>nasjonal terskelverdi</w:t>
      </w:r>
      <w:r w:rsidR="004524F1">
        <w:rPr>
          <w:rFonts w:ascii="Verdana" w:hAnsi="Verdana"/>
          <w:bCs/>
          <w:sz w:val="20"/>
        </w:rPr>
        <w:t xml:space="preserve"> som gjenno</w:t>
      </w:r>
      <w:r w:rsidR="00481D78">
        <w:rPr>
          <w:rFonts w:ascii="Verdana" w:hAnsi="Verdana"/>
          <w:bCs/>
          <w:sz w:val="20"/>
        </w:rPr>
        <w:t>m</w:t>
      </w:r>
      <w:r w:rsidR="004524F1">
        <w:rPr>
          <w:rFonts w:ascii="Verdana" w:hAnsi="Verdana"/>
          <w:bCs/>
          <w:sz w:val="20"/>
        </w:rPr>
        <w:t>føres for Nordland fylkeskommune</w:t>
      </w:r>
      <w:r w:rsidR="002C683D">
        <w:rPr>
          <w:rFonts w:ascii="Verdana" w:hAnsi="Verdana"/>
          <w:bCs/>
          <w:sz w:val="20"/>
        </w:rPr>
        <w:t>.</w:t>
      </w:r>
    </w:p>
    <w:p w:rsidR="004A4EC5" w14:paraId="4CCFB030" w14:textId="77777777">
      <w:pPr>
        <w:ind w:left="2127" w:hanging="2127"/>
        <w:rPr>
          <w:rFonts w:ascii="Verdana" w:hAnsi="Verdana"/>
          <w:sz w:val="20"/>
        </w:rPr>
      </w:pPr>
    </w:p>
    <w:p w:rsidR="004A4EC5" w14:paraId="4CCFB031" w14:textId="77777777">
      <w:pPr>
        <w:ind w:left="2127" w:hanging="2127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Ansvar</w:t>
      </w:r>
      <w:r>
        <w:rPr>
          <w:rFonts w:ascii="Verdana" w:hAnsi="Verdana"/>
          <w:sz w:val="20"/>
        </w:rPr>
        <w:tab/>
      </w:r>
      <w:r w:rsidR="002C683D">
        <w:rPr>
          <w:rFonts w:ascii="Verdana" w:hAnsi="Verdana"/>
          <w:sz w:val="20"/>
        </w:rPr>
        <w:t xml:space="preserve">Innkjøpstjenesten har ansvar for utarbeidelse og vedlikehold av denne prosedyre. </w:t>
      </w:r>
    </w:p>
    <w:p w:rsidR="002C683D" w14:paraId="4CCFB032" w14:textId="77777777">
      <w:pPr>
        <w:ind w:left="2127" w:hanging="2127"/>
        <w:rPr>
          <w:rFonts w:ascii="Verdana" w:hAnsi="Verdana"/>
          <w:sz w:val="20"/>
        </w:rPr>
      </w:pPr>
    </w:p>
    <w:p w:rsidR="002C683D" w14:paraId="4CCFB033" w14:textId="77777777">
      <w:pPr>
        <w:ind w:left="2127" w:hanging="212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Den som inngår kontrakt på vegne av fylkeskommunen har ansvar for at rutinen er fulgt.</w:t>
      </w:r>
    </w:p>
    <w:p w:rsidR="004A4EC5" w14:paraId="4CCFB034" w14:textId="77777777">
      <w:pPr>
        <w:ind w:left="2127" w:hanging="2127"/>
        <w:rPr>
          <w:rFonts w:ascii="Verdana" w:hAnsi="Verdana"/>
          <w:sz w:val="20"/>
        </w:rPr>
      </w:pPr>
    </w:p>
    <w:p w:rsidR="002C683D" w14:paraId="4CCFB035" w14:textId="77777777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>Handling</w:t>
      </w: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Cs/>
          <w:sz w:val="20"/>
        </w:rPr>
        <w:t>Utover de bestemmelser som lov om offentlige anskaffelser gir, skal samfunn</w:t>
      </w:r>
      <w:r>
        <w:rPr>
          <w:rFonts w:ascii="Verdana" w:hAnsi="Verdana"/>
          <w:bCs/>
          <w:sz w:val="20"/>
        </w:rPr>
        <w:t>sansvar vurderes og dokumenteres for alle anskaffelser omfattet av denne prosedyre.</w:t>
      </w:r>
    </w:p>
    <w:p w:rsidR="002C683D" w14:paraId="4CCFB036" w14:textId="77777777">
      <w:pPr>
        <w:ind w:left="2127" w:hanging="2127"/>
        <w:rPr>
          <w:rFonts w:ascii="Verdana" w:hAnsi="Verdana"/>
          <w:bCs/>
          <w:sz w:val="20"/>
        </w:rPr>
      </w:pPr>
    </w:p>
    <w:p w:rsidR="002C683D" w14:paraId="4CCFB037" w14:textId="77777777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  <w:t>Miljøkvaliteter skal vektlegges. Der hvor norsk regelverk stiller spesielle krav til produksjon, skal slike krav også tas inn i anskaffelsens minstekrav.</w:t>
      </w:r>
    </w:p>
    <w:p w:rsidR="002C683D" w14:paraId="4CCFB038" w14:textId="77777777">
      <w:pPr>
        <w:ind w:left="2127" w:hanging="2127"/>
        <w:rPr>
          <w:rFonts w:ascii="Verdana" w:hAnsi="Verdana"/>
          <w:bCs/>
          <w:sz w:val="20"/>
        </w:rPr>
      </w:pPr>
    </w:p>
    <w:p w:rsidR="004A4EC5" w14:paraId="4CCFB039" w14:textId="2E3FD51B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  <w:t>Fylkeskommunen</w:t>
      </w:r>
      <w:r>
        <w:rPr>
          <w:rFonts w:ascii="Verdana" w:hAnsi="Verdana"/>
          <w:bCs/>
          <w:sz w:val="20"/>
        </w:rPr>
        <w:t xml:space="preserve"> skal ikke akseptere at leverandører eller underleverandører benytter arbeidskraft på vilkår som er i strid med norske verdier. Internasjonale konvensjoner skal res</w:t>
      </w:r>
      <w:r w:rsidR="00481D78">
        <w:rPr>
          <w:rFonts w:ascii="Verdana" w:hAnsi="Verdana"/>
          <w:bCs/>
          <w:sz w:val="20"/>
        </w:rPr>
        <w:t>p</w:t>
      </w:r>
      <w:r>
        <w:rPr>
          <w:rFonts w:ascii="Verdana" w:hAnsi="Verdana"/>
          <w:bCs/>
          <w:sz w:val="20"/>
        </w:rPr>
        <w:t>ekteres og følges opp. Dette skal tydelig fremgår av fylkeskommunens kontrakter, og kontrak</w:t>
      </w:r>
      <w:r>
        <w:rPr>
          <w:rFonts w:ascii="Verdana" w:hAnsi="Verdana"/>
          <w:bCs/>
          <w:sz w:val="20"/>
        </w:rPr>
        <w:t>tseier skal ha rutiner for å følge opp slike vilkår.</w:t>
      </w:r>
    </w:p>
    <w:p w:rsidR="008F45CD" w14:paraId="61DF4A8B" w14:textId="4E3B9940">
      <w:pPr>
        <w:ind w:left="2127" w:hanging="2127"/>
        <w:rPr>
          <w:rFonts w:ascii="Verdana" w:hAnsi="Verdana"/>
          <w:bCs/>
          <w:sz w:val="20"/>
        </w:rPr>
      </w:pPr>
    </w:p>
    <w:p w:rsidR="008F45CD" w14:paraId="5F731586" w14:textId="40B28933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  <w:t xml:space="preserve">I bygge og anleggskontrakter skal </w:t>
      </w:r>
      <w:r w:rsidRPr="008F45CD">
        <w:rPr>
          <w:rFonts w:ascii="Verdana" w:hAnsi="Verdana"/>
          <w:bCs/>
          <w:sz w:val="20"/>
        </w:rPr>
        <w:t>Bygge- og anleggsnæringens seriøsitetskrav skal legges til grunn</w:t>
      </w:r>
      <w:r>
        <w:rPr>
          <w:rFonts w:ascii="Verdana" w:hAnsi="Verdana"/>
          <w:bCs/>
          <w:sz w:val="20"/>
        </w:rPr>
        <w:t xml:space="preserve">. Gjeldende versjon finnes på </w:t>
      </w:r>
      <w:hyperlink r:id="rId5" w:history="1">
        <w:r w:rsidRPr="008F45CD">
          <w:rPr>
            <w:rStyle w:val="Hyperlink"/>
            <w:rFonts w:ascii="Verdana" w:hAnsi="Verdana"/>
            <w:bCs/>
            <w:sz w:val="20"/>
          </w:rPr>
          <w:t>https://anskaffelser.no/verktoy/maler/seriositetsbestemmelser-bygg-og-anleggskontrakter-og-sjekkliste-oppfolging</w:t>
        </w:r>
      </w:hyperlink>
    </w:p>
    <w:p w:rsidR="002C683D" w14:paraId="4CCFB03A" w14:textId="77777777">
      <w:pPr>
        <w:ind w:left="2127" w:hanging="2127"/>
        <w:rPr>
          <w:rFonts w:ascii="Verdana" w:hAnsi="Verdana"/>
          <w:bCs/>
          <w:sz w:val="20"/>
        </w:rPr>
      </w:pPr>
    </w:p>
    <w:p w:rsidR="002C683D" w14:paraId="4CCFB03B" w14:textId="77777777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>Fylkeskommunen skal gjennom sine anskaffelser søke å oppnå at det etableres lærlingeplasser innad i fylket, og at det aktivt benyttes lærlinger på disse. Omfanget av lærlingeplasser skal stå i et rimelig forhold til anskaffelsen, og kan angis ned på timeve</w:t>
      </w:r>
      <w:r>
        <w:rPr>
          <w:rFonts w:ascii="Verdana" w:hAnsi="Verdana"/>
          <w:bCs/>
          <w:sz w:val="20"/>
        </w:rPr>
        <w:t>rk for den enkelte anskaffelse. Fylkeskommunens utdanningsavdeling skal konsulteres når behovet for lærlinger skal vurderes for den enkelte anskaffelse. Lærlingebehovet kan både dekkes av leverandør og eventuelt underleverandør.</w:t>
      </w:r>
    </w:p>
    <w:p w:rsidR="004524F1" w14:paraId="4CCFB03C" w14:textId="77777777">
      <w:pPr>
        <w:ind w:left="2127" w:hanging="2127"/>
        <w:rPr>
          <w:rFonts w:ascii="Verdana" w:hAnsi="Verdana"/>
          <w:bCs/>
          <w:sz w:val="20"/>
        </w:rPr>
      </w:pPr>
    </w:p>
    <w:p w:rsidR="004A4EC5" w:rsidP="004524F1" w14:paraId="4CCFB03D" w14:textId="77777777">
      <w:pPr>
        <w:ind w:left="2127" w:hanging="2127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ab/>
      </w:r>
    </w:p>
    <w:p w:rsidR="004A4EC5" w14:paraId="4CCFB03E" w14:textId="77777777">
      <w:pPr>
        <w:ind w:left="2127" w:hanging="2127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Registreringer </w:t>
      </w:r>
      <w:r>
        <w:rPr>
          <w:rFonts w:ascii="Verdana" w:hAnsi="Verdana"/>
          <w:b/>
          <w:bCs/>
          <w:sz w:val="20"/>
        </w:rPr>
        <w:tab/>
      </w:r>
      <w:r w:rsidR="004524F1">
        <w:rPr>
          <w:rFonts w:ascii="Verdana" w:hAnsi="Verdana"/>
          <w:bCs/>
          <w:sz w:val="20"/>
        </w:rPr>
        <w:t>Alle vurderinger vedrørende sosialt ansvar skal være dokumentert og arkivert i tilknytning til anskaffelsen.</w:t>
      </w:r>
    </w:p>
    <w:p w:rsidR="004524F1" w14:paraId="4CCFB03F" w14:textId="77777777">
      <w:pPr>
        <w:ind w:left="2127" w:hanging="2127"/>
        <w:jc w:val="both"/>
        <w:rPr>
          <w:rFonts w:ascii="Verdana" w:hAnsi="Verdana"/>
          <w:sz w:val="20"/>
        </w:rPr>
      </w:pPr>
    </w:p>
    <w:p w:rsidR="004A4EC5" w14:paraId="4CCFB040" w14:textId="77777777">
      <w:pPr>
        <w:ind w:left="2127" w:hanging="2127"/>
        <w:jc w:val="both"/>
        <w:rPr>
          <w:rFonts w:ascii="Verdana" w:hAnsi="Verdana"/>
          <w:sz w:val="20"/>
        </w:rPr>
      </w:pPr>
    </w:p>
    <w:p w:rsidR="004A4EC5" w:rsidRPr="004524F1" w14:paraId="4CCFB041" w14:textId="77777777">
      <w:pPr>
        <w:ind w:left="2127" w:hanging="2127"/>
        <w:jc w:val="both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>Avviksbehandling</w:t>
      </w:r>
      <w:r w:rsidR="004524F1">
        <w:rPr>
          <w:rFonts w:ascii="Verdana" w:hAnsi="Verdana"/>
          <w:bCs/>
          <w:sz w:val="20"/>
        </w:rPr>
        <w:tab/>
        <w:t>Av</w:t>
      </w:r>
      <w:r w:rsidR="00481D78">
        <w:rPr>
          <w:rFonts w:ascii="Verdana" w:hAnsi="Verdana"/>
          <w:bCs/>
          <w:sz w:val="20"/>
        </w:rPr>
        <w:t>v</w:t>
      </w:r>
      <w:r w:rsidR="004524F1">
        <w:rPr>
          <w:rFonts w:ascii="Verdana" w:hAnsi="Verdana"/>
          <w:bCs/>
          <w:sz w:val="20"/>
        </w:rPr>
        <w:t xml:space="preserve">ik behandles </w:t>
      </w:r>
      <w:r w:rsidR="004524F1">
        <w:rPr>
          <w:rFonts w:ascii="Verdana" w:hAnsi="Verdana"/>
          <w:bCs/>
          <w:sz w:val="20"/>
        </w:rPr>
        <w:t>ihht</w:t>
      </w:r>
      <w:r w:rsidR="004524F1">
        <w:rPr>
          <w:rFonts w:ascii="Verdana" w:hAnsi="Verdana"/>
          <w:bCs/>
          <w:sz w:val="20"/>
        </w:rPr>
        <w:t xml:space="preserve">. gjeldende prosedyre for </w:t>
      </w:r>
      <w:r w:rsidR="004524F1">
        <w:rPr>
          <w:rFonts w:ascii="Verdana" w:hAnsi="Verdana"/>
          <w:bCs/>
          <w:sz w:val="20"/>
        </w:rPr>
        <w:t>aviksbehandling</w:t>
      </w:r>
      <w:r w:rsidR="004524F1">
        <w:rPr>
          <w:rFonts w:ascii="Verdana" w:hAnsi="Verdana"/>
          <w:bCs/>
          <w:sz w:val="20"/>
        </w:rPr>
        <w:t>.</w:t>
      </w:r>
    </w:p>
    <w:p w:rsidR="004A4EC5" w14:paraId="4CCFB042" w14:textId="77777777">
      <w:pPr>
        <w:ind w:left="2127" w:hanging="2127"/>
        <w:jc w:val="both"/>
        <w:rPr>
          <w:rFonts w:ascii="Verdana" w:hAnsi="Verdana"/>
          <w:sz w:val="20"/>
        </w:rPr>
      </w:pPr>
    </w:p>
    <w:p w:rsidR="004A4EC5" w:rsidRPr="004524F1" w14:paraId="4CCFB043" w14:textId="77777777">
      <w:pPr>
        <w:ind w:left="2127" w:hanging="2127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>Distribusjon</w:t>
      </w:r>
      <w:r w:rsidR="004524F1">
        <w:rPr>
          <w:rFonts w:ascii="Verdana" w:hAnsi="Verdana"/>
          <w:b/>
          <w:bCs/>
          <w:sz w:val="20"/>
        </w:rPr>
        <w:tab/>
      </w:r>
      <w:r w:rsidRPr="004524F1" w:rsidR="004524F1">
        <w:rPr>
          <w:rFonts w:ascii="Verdana" w:hAnsi="Verdana"/>
          <w:bCs/>
          <w:sz w:val="20"/>
        </w:rPr>
        <w:t>Alle anvisningsansvarlige</w:t>
      </w:r>
    </w:p>
    <w:p w:rsidR="004A4EC5" w14:paraId="4CCFB044" w14:textId="77777777">
      <w:pPr>
        <w:ind w:left="2127" w:hanging="2127"/>
        <w:rPr>
          <w:rFonts w:ascii="Verdana" w:hAnsi="Verdana"/>
          <w:sz w:val="20"/>
        </w:rPr>
      </w:pPr>
    </w:p>
    <w:p w:rsidR="004A4EC5" w14:paraId="4CCFB045" w14:textId="77777777">
      <w:pPr>
        <w:ind w:left="2127" w:hanging="2127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Interne referanser</w:t>
      </w:r>
      <w:r>
        <w:rPr>
          <w:rFonts w:ascii="Verdana" w:hAnsi="Verdana"/>
          <w:b/>
          <w:bCs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6" w:history="1">
              <w:r>
                <w:rPr>
                  <w:b w:val="0"/>
                  <w:color w:val="0000FF"/>
                  <w:u w:val="single"/>
                </w:rPr>
                <w:t>D04456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Overordnet rutine for anskaffelser i Nordland fylkeskommune</w:t>
              </w:r>
            </w:hyperlink>
          </w:p>
        </w:tc>
      </w:tr>
    </w:tbl>
    <w:p w:rsidR="004A4EC5" w14:paraId="4CCFB049" w14:textId="77777777">
      <w:pPr>
        <w:pStyle w:val="Caption"/>
        <w:rPr>
          <w:rFonts w:ascii="Verdana" w:hAnsi="Verdana"/>
          <w:sz w:val="20"/>
        </w:rPr>
      </w:pPr>
      <w:bookmarkEnd w:id="1"/>
    </w:p>
    <w:p w:rsidR="004A4EC5" w14:paraId="4CCFB04A" w14:textId="77777777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A4EC5" w14:paraId="4CCFB04D" w14:textId="77777777">
      <w:pPr>
        <w:rPr>
          <w:rFonts w:ascii="Verdana" w:hAnsi="Verdana"/>
          <w:sz w:val="20"/>
        </w:rPr>
      </w:pPr>
      <w:bookmarkEnd w:id="2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EC5" w14:paraId="4CCFB05A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EC5" w14:paraId="4CCFB05B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EC5" w14:paraId="4CCFB05D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E47" w14:paraId="4CCFB0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585"/>
      <w:gridCol w:w="567"/>
      <w:gridCol w:w="1920"/>
    </w:tblGrid>
    <w:tr w14:paraId="4CCFB054" w14:textId="77777777" w:rsidTr="00554977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 w:val="restart"/>
          <w:vAlign w:val="center"/>
        </w:tcPr>
        <w:p w:rsidR="00F34EC8" w14:paraId="4CCFB051" w14:textId="77777777">
          <w:pPr>
            <w:rPr>
              <w:rFonts w:ascii="Verdana" w:hAnsi="Verdana"/>
              <w:color w:val="0082A3"/>
              <w:sz w:val="28"/>
            </w:rPr>
          </w:pPr>
          <w:r>
            <w:rPr>
              <w:rFonts w:ascii="Verdana" w:hAnsi="Verdana"/>
              <w:b/>
              <w:color w:val="0082A3"/>
              <w:sz w:val="28"/>
            </w:rPr>
            <w:fldChar w:fldCharType="begin" w:fldLock="1"/>
          </w:r>
          <w:r>
            <w:rPr>
              <w:rFonts w:ascii="Verdana" w:hAnsi="Verdana"/>
              <w:b/>
              <w:color w:val="0082A3"/>
              <w:sz w:val="28"/>
            </w:rPr>
            <w:instrText>DOCPROPERTY EK_doktittel</w:instrText>
          </w:r>
          <w:r>
            <w:rPr>
              <w:rFonts w:ascii="Verdana" w:hAnsi="Verdana"/>
              <w:b/>
              <w:color w:val="0082A3"/>
              <w:sz w:val="28"/>
            </w:rPr>
            <w:fldChar w:fldCharType="separate"/>
          </w:r>
          <w:r>
            <w:rPr>
              <w:rFonts w:ascii="Verdana" w:hAnsi="Verdana"/>
              <w:b/>
              <w:color w:val="0082A3"/>
              <w:sz w:val="28"/>
            </w:rPr>
            <w:t>Samfunnsansvar i offentlige anskaffelser</w:t>
          </w:r>
          <w:r>
            <w:rPr>
              <w:rFonts w:ascii="Verdana" w:hAnsi="Verdana"/>
              <w:b/>
              <w:color w:val="0082A3"/>
              <w:sz w:val="28"/>
            </w:rPr>
            <w:fldChar w:fldCharType="end"/>
          </w:r>
        </w:p>
      </w:tc>
      <w:tc>
        <w:tcPr>
          <w:tcW w:w="567" w:type="dxa"/>
        </w:tcPr>
        <w:p w:rsidR="00F34EC8" w:rsidRPr="00554977" w14:paraId="4CCFB052" w14:textId="77777777">
          <w:pPr>
            <w:tabs>
              <w:tab w:val="left" w:pos="497"/>
            </w:tabs>
            <w:rPr>
              <w:rFonts w:ascii="Verdana" w:hAnsi="Verdana"/>
              <w:color w:val="0082A3"/>
              <w:sz w:val="18"/>
              <w:lang w:val="de-DE"/>
            </w:rPr>
          </w:pPr>
          <w:r>
            <w:rPr>
              <w:rFonts w:ascii="Verdana" w:hAnsi="Verdana"/>
              <w:b/>
              <w:bCs/>
              <w:sz w:val="18"/>
            </w:rPr>
            <w:t>ID</w:t>
          </w:r>
        </w:p>
      </w:tc>
      <w:tc>
        <w:tcPr>
          <w:tcW w:w="1920" w:type="dxa"/>
        </w:tcPr>
        <w:p w:rsidR="00F34EC8" w:rsidRPr="00554977" w:rsidP="00554977" w14:paraId="4CCFB053" w14:textId="77777777">
          <w:pPr>
            <w:tabs>
              <w:tab w:val="left" w:pos="497"/>
            </w:tabs>
            <w:rPr>
              <w:rFonts w:ascii="Verdana" w:hAnsi="Verdana"/>
              <w:b/>
              <w:color w:val="000080"/>
              <w:sz w:val="18"/>
            </w:rPr>
          </w:pPr>
          <w:r w:rsidRPr="00554977">
            <w:rPr>
              <w:rFonts w:ascii="Verdana" w:hAnsi="Verdana"/>
              <w:b/>
              <w:color w:val="0082A3"/>
              <w:sz w:val="18"/>
            </w:rPr>
            <w:fldChar w:fldCharType="begin" w:fldLock="1"/>
          </w:r>
          <w:r w:rsidRPr="00554977">
            <w:rPr>
              <w:rFonts w:ascii="Verdana" w:hAnsi="Verdana"/>
              <w:b/>
              <w:color w:val="0082A3"/>
              <w:sz w:val="18"/>
            </w:rPr>
            <w:instrText xml:space="preserve"> DOCPROPERTY EK_DokumentID </w:instrText>
          </w:r>
          <w:r w:rsidRPr="00554977">
            <w:rPr>
              <w:rFonts w:ascii="Verdana" w:hAnsi="Verdana"/>
              <w:b/>
              <w:color w:val="0082A3"/>
              <w:sz w:val="18"/>
            </w:rPr>
            <w:fldChar w:fldCharType="separate"/>
          </w:r>
          <w:r w:rsidRPr="00554977">
            <w:rPr>
              <w:rFonts w:ascii="Verdana" w:hAnsi="Verdana"/>
              <w:b/>
              <w:color w:val="0082A3"/>
              <w:sz w:val="18"/>
            </w:rPr>
            <w:t>D07346</w:t>
          </w:r>
          <w:r w:rsidRPr="00554977">
            <w:rPr>
              <w:rFonts w:ascii="Verdana" w:hAnsi="Verdana"/>
              <w:b/>
              <w:color w:val="0082A3"/>
              <w:sz w:val="18"/>
            </w:rPr>
            <w:fldChar w:fldCharType="end"/>
          </w:r>
        </w:p>
      </w:tc>
    </w:tr>
    <w:tr w14:paraId="4CCFB058" w14:textId="77777777" w:rsidTr="00554977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6585" w:type="dxa"/>
          <w:vMerge/>
          <w:vAlign w:val="center"/>
        </w:tcPr>
        <w:p w:rsidR="00F34EC8" w14:paraId="4CCFB055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567" w:type="dxa"/>
        </w:tcPr>
        <w:p w:rsidR="00F34EC8" w14:paraId="4CCFB056" w14:textId="77777777">
          <w:pPr>
            <w:tabs>
              <w:tab w:val="left" w:pos="497"/>
            </w:tabs>
            <w:rPr>
              <w:rFonts w:ascii="Verdana" w:hAnsi="Verdana"/>
              <w:b/>
              <w:bCs/>
              <w:sz w:val="18"/>
            </w:rPr>
          </w:pPr>
          <w:r>
            <w:rPr>
              <w:rFonts w:ascii="Verdana" w:hAnsi="Verdana"/>
              <w:sz w:val="18"/>
            </w:rPr>
            <w:t>Ver.</w:t>
          </w:r>
        </w:p>
      </w:tc>
      <w:tc>
        <w:tcPr>
          <w:tcW w:w="1920" w:type="dxa"/>
        </w:tcPr>
        <w:p w:rsidR="00F34EC8" w:rsidP="00554977" w14:paraId="4CCFB057" w14:textId="77777777">
          <w:pPr>
            <w:tabs>
              <w:tab w:val="left" w:pos="497"/>
            </w:tabs>
            <w:rPr>
              <w:rFonts w:ascii="Verdana" w:hAnsi="Verdana"/>
              <w:color w:val="0082A3"/>
              <w:sz w:val="18"/>
              <w:lang w:val="de-DE"/>
            </w:rPr>
          </w:pPr>
          <w:r>
            <w:rPr>
              <w:rFonts w:ascii="Verdana" w:hAnsi="Verdana"/>
              <w:color w:val="0082A3"/>
              <w:sz w:val="18"/>
            </w:rPr>
            <w:fldChar w:fldCharType="begin" w:fldLock="1"/>
          </w:r>
          <w:r>
            <w:rPr>
              <w:rFonts w:ascii="Verdana" w:hAnsi="Verdana"/>
              <w:color w:val="0082A3"/>
              <w:sz w:val="18"/>
            </w:rPr>
            <w:instrText xml:space="preserve"> DOCPROPERTY EK_Utgave </w:instrText>
          </w:r>
          <w:r>
            <w:rPr>
              <w:rFonts w:ascii="Verdana" w:hAnsi="Verdana"/>
              <w:color w:val="0082A3"/>
              <w:sz w:val="18"/>
            </w:rPr>
            <w:fldChar w:fldCharType="separate"/>
          </w:r>
          <w:r>
            <w:rPr>
              <w:rFonts w:ascii="Verdana" w:hAnsi="Verdana"/>
              <w:color w:val="0082A3"/>
              <w:sz w:val="18"/>
            </w:rPr>
            <w:t>3.01</w:t>
          </w:r>
          <w:r>
            <w:rPr>
              <w:rFonts w:ascii="Verdana" w:hAnsi="Verdana"/>
              <w:color w:val="0082A3"/>
              <w:sz w:val="18"/>
            </w:rPr>
            <w:fldChar w:fldCharType="end"/>
          </w:r>
        </w:p>
      </w:tc>
    </w:tr>
  </w:tbl>
  <w:p w:rsidR="004A4EC5" w14:paraId="4CCFB059" w14:textId="77777777">
    <w:pPr>
      <w:jc w:val="right"/>
    </w:pPr>
    <w:r>
      <w:rPr>
        <w:rFonts w:ascii="Verdana" w:hAnsi="Verdana"/>
        <w:sz w:val="18"/>
      </w:rPr>
      <w:t xml:space="preserve">Side: </w:t>
    </w: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 xml:space="preserve">PAGE </w:instrText>
    </w:r>
    <w:r>
      <w:rPr>
        <w:rFonts w:ascii="Verdana" w:hAnsi="Verdana"/>
        <w:sz w:val="18"/>
      </w:rPr>
      <w:fldChar w:fldCharType="separate"/>
    </w:r>
    <w:r>
      <w:rPr>
        <w:rFonts w:ascii="Verdana" w:hAnsi="Verdana"/>
        <w:sz w:val="18"/>
      </w:rPr>
      <w:t>2</w:t>
    </w:r>
    <w:r>
      <w:rPr>
        <w:rFonts w:ascii="Verdana" w:hAnsi="Verdana"/>
        <w:sz w:val="18"/>
      </w:rPr>
      <w:fldChar w:fldCharType="end"/>
    </w:r>
    <w:r>
      <w:rPr>
        <w:rFonts w:ascii="Verdana" w:hAnsi="Verdana"/>
        <w:sz w:val="18"/>
      </w:rPr>
      <w:t xml:space="preserve"> av </w:t>
    </w:r>
    <w:r>
      <w:rPr>
        <w:rFonts w:ascii="Verdana" w:hAnsi="Verdana"/>
        <w:sz w:val="18"/>
      </w:rPr>
      <w:fldChar w:fldCharType="begin"/>
    </w:r>
    <w:r>
      <w:rPr>
        <w:rFonts w:ascii="Verdana" w:hAnsi="Verdana"/>
        <w:sz w:val="18"/>
      </w:rPr>
      <w:instrText>NUMPAGES</w:instrText>
    </w:r>
    <w:r>
      <w:rPr>
        <w:rFonts w:ascii="Verdana" w:hAnsi="Verdana"/>
        <w:sz w:val="18"/>
      </w:rPr>
      <w:fldChar w:fldCharType="separate"/>
    </w:r>
    <w:r>
      <w:rPr>
        <w:rFonts w:ascii="Verdana" w:hAnsi="Verdana"/>
        <w:sz w:val="18"/>
      </w:rPr>
      <w:t>2</w:t>
    </w:r>
    <w:r>
      <w:rPr>
        <w:rFonts w:ascii="Verdana" w:hAnsi="Verdana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E47" w14:paraId="4CCFB05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46"/>
    <w:rsid w:val="00182AD3"/>
    <w:rsid w:val="002C683D"/>
    <w:rsid w:val="0030197E"/>
    <w:rsid w:val="003C62E5"/>
    <w:rsid w:val="00415B00"/>
    <w:rsid w:val="004524F1"/>
    <w:rsid w:val="00481D78"/>
    <w:rsid w:val="004A4EC5"/>
    <w:rsid w:val="00524E47"/>
    <w:rsid w:val="00554977"/>
    <w:rsid w:val="005C31CD"/>
    <w:rsid w:val="00777BC4"/>
    <w:rsid w:val="007F5546"/>
    <w:rsid w:val="00830308"/>
    <w:rsid w:val="008F45CD"/>
    <w:rsid w:val="00943B10"/>
    <w:rsid w:val="009A0B00"/>
    <w:rsid w:val="00A0132D"/>
    <w:rsid w:val="00AC1264"/>
    <w:rsid w:val="00B7555D"/>
    <w:rsid w:val="00B97AC3"/>
    <w:rsid w:val="00C17F5E"/>
    <w:rsid w:val="00D31A8F"/>
    <w:rsid w:val="00EF5EE9"/>
    <w:rsid w:val="00F34EC8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s Jørgen Kibsgaard"/>
    <w:docVar w:name="ek_dbfields" w:val="EK_Avdeling¤2#4¤2# ¤3#EK_Avsnitt¤2#4¤2# ¤3#EK_Bedriftsnavn¤2#1¤2#Nordland fylkeskommune¤3#EK_GjelderFra¤2#0¤2#18.08.2015¤3#EK_KlGjelderFra¤2#0¤2#¤3#EK_Opprettet¤2#0¤2#17.08.2015¤3#EK_Utgitt¤2#0¤2#18.08.2015¤3#EK_IBrukDato¤2#0¤2#18.08.2015¤3#EK_DokumentID¤2#0¤2#D07346¤3#EK_DokTittel¤2#0¤2#Samfunnsansvar i offentlige anskaffelser¤3#EK_DokType¤2#0¤2#Prosedyre¤3#EK_DocLvlShort¤2#0¤2# ¤3#EK_DocLevel¤2#0¤2# ¤3#EK_EksRef¤2#2¤2# 0_x0009_¤3#EK_Erstatter¤2#0¤2# ¤3#EK_ErstatterD¤2#0¤2# ¤3#EK_Signatur¤2#0¤2#Hans Jørgen Kibsgaard¤3#EK_Verifisert¤2#0¤2#18.08.2015 - Heidi Theodorsen¤3#EK_Hørt¤2#0¤2# ¤3#EK_AuditReview¤2#2¤2# ¤3#EK_AuditApprove¤2#2¤2# ¤3#EK_Gradering¤2#0¤2#Åpen¤3#EK_Gradnr¤2#4¤2#0¤3#EK_Kapittel¤2#4¤2# ¤3#EK_Referanse¤2#2¤2# 1_x0009_.2.IN.1.3.5_x0009_Overordnet rutine for anskaffelser i Nordland fylkeskommune_x0009_04456_x0009_dok04456.docx_x0009_¤1#¤3#EK_RefNr¤2#0¤2#.2.IN.4.5.8¤3#EK_Revisjon¤2#0¤2#1.00¤3#EK_Ansvarlig¤2#0¤2#Hans Jørgen Kibsgaard¤3#EK_SkrevetAv¤2#0¤2#Hans Jørgen Kibsgaard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8.08.2015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¤3#EK_Vedlegg¤2#2¤2# 0_x0009_¤3#EK_AvdelingOver¤2#4¤2# ¤3#EK_HRefNr¤2#0¤2# ¤3#EK_HbNavn¤2#0¤2# ¤3#EK_DokRefnr¤2#4¤2#0001050206030405¤3#EK_Dokendrdato¤2#4¤2#16.02.2021 16:26:12¤3#EK_HbType¤2#4¤2# ¤3#EK_Offisiell¤2#4¤2# ¤3#EK_VedleggRef¤2#4¤2#.2.IN.4.5.8¤3#EK_Strukt00¤2#5¤2#¤5#¤5#Kapittelstrukturen¤5#0¤5#0¤4#¤5#¤5#Finans og organisasjon¤5#2¤5#0¤4#.¤5#2¤5#Hovedprosesser/seksjoner¤5#0¤5#0¤4#¤5#¤5#Økonomi og analyse¤5#2¤5#0¤4#.¤5#IN¤5#Innkjøpstjenesten¤5#2¤5#0¤4#.¤5#4¤5#Hovedprosesser ved Innkjøpstjenesten¤5#0¤5#0¤4#.¤5#5¤5#Midlertidig¤5#0¤5#0¤4#§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Kapittelstrukturen¤5#0¤5#0¤4#¤5#¤5#Finans og organisasjon¤5#2¤5#0¤4#.¤5#2¤5#Hovedprosesser/seksjoner¤5#0¤5#0¤4#¤5#¤5#Økonomi og analyse¤5#2¤5#0¤4#.¤5#IN¤5#Innkjøpstjenesten¤5#2¤5#0¤4#.¤5#4¤5#Hovedprosesser ved Innkjøpstjenesten¤5#0¤5#0¤4#.¤5#5¤5#Midlertidig¤5#0¤5#0¤4#§¤3#"/>
    <w:docVar w:name="ek_dl" w:val="8"/>
    <w:docVar w:name="ek_doclevel" w:val=" "/>
    <w:docVar w:name="ek_doclvlshort" w:val=" "/>
    <w:docVar w:name="ek_dokansvnavn" w:val="Heidi Theodorsen"/>
    <w:docVar w:name="ek_doktittel" w:val="Samfunnsansvar i offentlige anskaffelser"/>
    <w:docVar w:name="ek_doktype" w:val="Prosedyre"/>
    <w:docVar w:name="ek_dokumentid" w:val="D07346"/>
    <w:docVar w:name="ek_erstatter" w:val=" "/>
    <w:docVar w:name="ek_erstatterd" w:val=" "/>
    <w:docVar w:name="ek_format" w:val="-10"/>
    <w:docVar w:name="ek_gjelderfra" w:val="18.08.201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18.08.2015"/>
    <w:docVar w:name="ek_merknad" w:val="[]"/>
    <w:docVar w:name="ek_opprettet" w:val="17.08.2015"/>
    <w:docVar w:name="ek_rapport" w:val="[]"/>
    <w:docVar w:name="ek_refnr" w:val=".2.IN.4.5.8"/>
    <w:docVar w:name="ek_revisjon" w:val="1.00"/>
    <w:docVar w:name="ek_signatur" w:val="Hans Jørgen Kibsgaard"/>
    <w:docVar w:name="ek_skrevetav" w:val="Hans Jørgen Kibsgaard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18.08.2015"/>
    <w:docVar w:name="ek_verifisert" w:val="18.08.2015 - Heidi Theodorsen"/>
    <w:docVar w:name="Erstatter" w:val="lab_erstatter"/>
    <w:docVar w:name="idek_referanse" w:val=";04456;"/>
    <w:docVar w:name="idxd" w:val=";04456;"/>
    <w:docVar w:name="KHB" w:val="UB"/>
    <w:docVar w:name="skitten" w:val="0"/>
    <w:docVar w:name="tidek_referanse" w:val=";04456;"/>
    <w:docVar w:name="tidek_vedlegg" w:val="--"/>
    <w:docVar w:name="Tittel" w:val="Dette er en Test tittel."/>
    <w:docVar w:name="xd04456" w:val=".IN.1.3.5"/>
    <w:docVar w:name="xdf04456" w:val="dok04456.docx"/>
    <w:docVar w:name="xdl04456" w:val=".IN.1.3.5 Overordnet rutine for anskaffelser i Nordland fylkeskommune"/>
    <w:docVar w:name="xdt04456" w:val="Overordnet rutine for anskaffelser i Nordland fylkeskommune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CFB00C"/>
  <w15:docId w15:val="{52FA6112-06F4-413D-93CB-A648180F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olor w:val="000080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777BC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777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B0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anskaffelser.no/verktoy/maler/seriositetsbestemmelser-bygg-og-anleggskontrakter-og-sjekkliste-oppfolging" TargetMode="External" /><Relationship Id="rId6" Type="http://schemas.openxmlformats.org/officeDocument/2006/relationships/hyperlink" Target="https://nfk-ekstern.datakvalitet.net/docs/pub/DOK04456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PN_SAKMYS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13</TotalTime>
  <Pages>2</Pages>
  <Words>296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Samfunnsansvar i offentlige anskaffelser</vt:lpstr>
      <vt:lpstr>Standard</vt:lpstr>
    </vt:vector>
  </TitlesOfParts>
  <Company>Datakvalitet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Samfunnsansvar i offentlige anskaffelser</dc:title>
  <dc:subject>0001050206030405|.2.IN.4.5.8|</dc:subject>
  <dc:creator>Handbok</dc:creator>
  <cp:lastModifiedBy>Hans Jørgen Kibsgaard</cp:lastModifiedBy>
  <cp:revision>3</cp:revision>
  <dcterms:created xsi:type="dcterms:W3CDTF">2021-03-25T12:59:00Z</dcterms:created>
  <dcterms:modified xsi:type="dcterms:W3CDTF">2023-04-04T08:45:00Z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Samfunnsansvar i offentlige anskaffelser</vt:lpwstr>
  </property>
  <property fmtid="{D5CDD505-2E9C-101B-9397-08002B2CF9AE}" pid="4" name="EK_DokumentID">
    <vt:lpwstr>D07346</vt:lpwstr>
  </property>
  <property fmtid="{D5CDD505-2E9C-101B-9397-08002B2CF9AE}" pid="5" name="EK_GjelderFra">
    <vt:lpwstr>04.06.2025</vt:lpwstr>
  </property>
  <property fmtid="{D5CDD505-2E9C-101B-9397-08002B2CF9AE}" pid="6" name="EK_Signatur">
    <vt:lpwstr>Hans Jørgen Kibsgaard</vt:lpwstr>
  </property>
  <property fmtid="{D5CDD505-2E9C-101B-9397-08002B2CF9AE}" pid="7" name="EK_SkrevetAv">
    <vt:lpwstr>Hans Jørgen Kibsgaard</vt:lpwstr>
  </property>
  <property fmtid="{D5CDD505-2E9C-101B-9397-08002B2CF9AE}" pid="8" name="EK_Utgave">
    <vt:lpwstr>3.01</vt:lpwstr>
  </property>
  <property fmtid="{D5CDD505-2E9C-101B-9397-08002B2CF9AE}" pid="9" name="EK_Watermark">
    <vt:lpwstr/>
  </property>
  <property fmtid="{D5CDD505-2E9C-101B-9397-08002B2CF9AE}" pid="10" name="XD04456">
    <vt:lpwstr>D04456</vt:lpwstr>
  </property>
  <property fmtid="{D5CDD505-2E9C-101B-9397-08002B2CF9AE}" pid="11" name="XDF04456">
    <vt:lpwstr>Overordnet rutine for anskaffelser i Nordland fylkeskommune</vt:lpwstr>
  </property>
  <property fmtid="{D5CDD505-2E9C-101B-9397-08002B2CF9AE}" pid="12" name="XDL04456">
    <vt:lpwstr>D04456 Overordnet rutine for anskaffelser i Nordland fylkeskommune</vt:lpwstr>
  </property>
  <property fmtid="{D5CDD505-2E9C-101B-9397-08002B2CF9AE}" pid="13" name="XDT04456">
    <vt:lpwstr>Overordnet rutine for anskaffelser i Nordland fylkeskommune</vt:lpwstr>
  </property>
</Properties>
</file>