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 w14:paraId="6A984E81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 w14:paraId="7901D4E0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 w14:paraId="565088B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Sikkerhetskurs for bruk av laboratoriet på realfag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 w14:paraId="6A98B6C1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 w14:paraId="7FA7FCC0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732ADD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732ADD">
              <w:rPr>
                <w:rFonts w:ascii="Verdana" w:hAnsi="Verdana"/>
                <w:b/>
                <w:bCs/>
                <w:color w:val="0082A3"/>
                <w:sz w:val="16"/>
              </w:rPr>
              <w:t>D04096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14A7D592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 w14:paraId="70089555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 w14:paraId="1455E25B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 w14:paraId="3DD975EE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 w14:paraId="5A8E0021" w14:textId="4C094F8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869522E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 w14:paraId="05B904E1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 w14:paraId="25FCE01D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 w14:paraId="712E9119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 w14:paraId="228160BF" w14:textId="2AD6B462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06.09.2023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E49967E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 w14:paraId="5B82A3E6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 w14:paraId="3DD68BB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 w14:paraId="6AB9D6AC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 w14:paraId="766D685C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Stine Mette Ersvik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B2322EC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 w14:paraId="481F5064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 w14:paraId="745BE664" w14:textId="7777777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 w14:paraId="04A270E9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 w14:paraId="66D24161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Elisabeth Kristoffersen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0B612CD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 w14:paraId="7DFF74CC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 w14:paraId="4C30B7BC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 w14:paraId="04058A6E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 w14:paraId="639C5D59" w14:textId="703657E2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BA5B38" w:rsidP="00BA5B38" w14:paraId="63FBF26D" w14:textId="77777777">
      <w:pPr>
        <w:pStyle w:val="Default"/>
      </w:pPr>
    </w:p>
    <w:p w:rsidR="00BA5B38" w:rsidP="00BA5B38" w14:paraId="53902307" w14:textId="77777777">
      <w:pPr>
        <w:pStyle w:val="Default"/>
      </w:pPr>
    </w:p>
    <w:p w:rsidR="00BA5B38" w:rsidP="00BA5B38" w14:paraId="5B9CAA45" w14:textId="77777777">
      <w:pPr>
        <w:pStyle w:val="Default"/>
      </w:pPr>
    </w:p>
    <w:p w:rsidR="00BA5B38" w:rsidP="00BA5B38" w14:paraId="243CF408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Før elevene får lov til å gjøre forsøk på laben skal de ha hatt en generell gjennomgang av oppførsel på laboratoriet og hva som finnes av verneutstyr og hvordan og når det skal brukes. </w:t>
      </w:r>
    </w:p>
    <w:p w:rsidR="00C944E3" w:rsidP="00BA5B38" w14:paraId="516A9E03" w14:textId="77777777">
      <w:pPr>
        <w:pStyle w:val="Default"/>
        <w:rPr>
          <w:sz w:val="22"/>
          <w:szCs w:val="22"/>
        </w:rPr>
      </w:pPr>
    </w:p>
    <w:p w:rsidR="00C944E3" w:rsidP="00BA5B38" w14:paraId="023CC165" w14:textId="77777777">
      <w:pPr>
        <w:pStyle w:val="Default"/>
        <w:rPr>
          <w:sz w:val="22"/>
          <w:szCs w:val="22"/>
        </w:rPr>
      </w:pPr>
    </w:p>
    <w:p w:rsidR="00BA5B38" w:rsidP="00BA5B38" w14:paraId="6FD3ED2C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Punktene nedenfor er basert på sikkerhetsregler for elever fra Natur</w:t>
      </w:r>
      <w:r>
        <w:rPr>
          <w:sz w:val="22"/>
          <w:szCs w:val="22"/>
        </w:rPr>
        <w:t>fagsenteret.</w:t>
      </w:r>
    </w:p>
    <w:p w:rsidR="00BA5B38" w:rsidP="00BA5B38" w14:paraId="303E94A5" w14:textId="77777777">
      <w:pPr>
        <w:pStyle w:val="Default"/>
        <w:rPr>
          <w:sz w:val="22"/>
          <w:szCs w:val="22"/>
        </w:rPr>
      </w:pPr>
    </w:p>
    <w:p w:rsidR="00C944E3" w:rsidP="00BA5B38" w14:paraId="6BD93875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Generell orientering om oppførsel på laben. Ro og orden er en nødvendighet</w:t>
      </w:r>
    </w:p>
    <w:p w:rsidR="00BA5B38" w:rsidP="00BA5B38" w14:paraId="0757DB64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for at risikoen skal bli minst mulig. </w:t>
      </w:r>
    </w:p>
    <w:p w:rsidR="00BA5B38" w:rsidP="00BA5B38" w14:paraId="50883A9B" w14:textId="77777777">
      <w:pPr>
        <w:pStyle w:val="Default"/>
        <w:rPr>
          <w:sz w:val="22"/>
          <w:szCs w:val="22"/>
        </w:rPr>
      </w:pPr>
    </w:p>
    <w:p w:rsidR="00C944E3" w:rsidP="00BA5B38" w14:paraId="153D3DC1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Elevene skal alltid bruke ansi</w:t>
      </w:r>
      <w:r w:rsidR="00E27D1D">
        <w:rPr>
          <w:sz w:val="22"/>
          <w:szCs w:val="22"/>
        </w:rPr>
        <w:t xml:space="preserve">ktsskjerm eller vernebriller, </w:t>
      </w:r>
      <w:r>
        <w:rPr>
          <w:sz w:val="22"/>
          <w:szCs w:val="22"/>
        </w:rPr>
        <w:t xml:space="preserve">laboratoriefrakk </w:t>
      </w:r>
      <w:r w:rsidR="00E27D1D">
        <w:rPr>
          <w:sz w:val="22"/>
          <w:szCs w:val="22"/>
        </w:rPr>
        <w:t xml:space="preserve">og </w:t>
      </w:r>
    </w:p>
    <w:p w:rsidR="00C944E3" w:rsidP="00BA5B38" w14:paraId="6976C8BD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sko </w:t>
      </w:r>
      <w:r w:rsidR="00BA5B38">
        <w:rPr>
          <w:sz w:val="22"/>
          <w:szCs w:val="22"/>
        </w:rPr>
        <w:t xml:space="preserve">når de arbeider med kjemikalier eller annet utstyr (f.eks. glass og varme) </w:t>
      </w:r>
    </w:p>
    <w:p w:rsidR="00BA5B38" w:rsidP="00BA5B38" w14:paraId="0CFFDA46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7D1D">
        <w:rPr>
          <w:sz w:val="22"/>
          <w:szCs w:val="22"/>
        </w:rPr>
        <w:t xml:space="preserve"> som kan gi skade.</w:t>
      </w:r>
    </w:p>
    <w:p w:rsidR="00BA5B38" w:rsidP="00BA5B38" w14:paraId="4E655A37" w14:textId="77777777">
      <w:pPr>
        <w:pStyle w:val="Default"/>
        <w:rPr>
          <w:sz w:val="22"/>
          <w:szCs w:val="22"/>
        </w:rPr>
      </w:pPr>
    </w:p>
    <w:p w:rsidR="00C944E3" w:rsidP="00BA5B38" w14:paraId="2142BEF5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Elevene skal bruke egnede hansker ved arbeid med kjemikalier som kan gi</w:t>
      </w:r>
    </w:p>
    <w:p w:rsidR="00BA5B38" w:rsidP="00BA5B38" w14:paraId="18A481B7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skade. </w:t>
      </w:r>
    </w:p>
    <w:p w:rsidR="00BA5B38" w:rsidP="00BA5B38" w14:paraId="7A11129B" w14:textId="77777777">
      <w:pPr>
        <w:pStyle w:val="Default"/>
        <w:rPr>
          <w:sz w:val="22"/>
          <w:szCs w:val="22"/>
        </w:rPr>
      </w:pPr>
    </w:p>
    <w:p w:rsidR="00BA5B38" w:rsidP="00BA5B38" w14:paraId="7C03CF4C" w14:textId="289CD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8D7F78">
        <w:rPr>
          <w:sz w:val="22"/>
          <w:szCs w:val="22"/>
        </w:rPr>
        <w:t>Det</w:t>
      </w:r>
      <w:r>
        <w:rPr>
          <w:sz w:val="22"/>
          <w:szCs w:val="22"/>
        </w:rPr>
        <w:t xml:space="preserve"> er ikke tillatt å spise eller drikke i laboratoriet. </w:t>
      </w:r>
    </w:p>
    <w:p w:rsidR="00BA5B38" w:rsidP="00BA5B38" w14:paraId="393494B7" w14:textId="77777777">
      <w:pPr>
        <w:pStyle w:val="Default"/>
        <w:numPr>
          <w:ilvl w:val="0"/>
          <w:numId w:val="1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Elevene må aldri smake på kjemikalier eller berøre dem med hendene. Ei heller lukte rett i glasset. Dersom de skal lukte på et stoff, skal de holde glasset på en viss avstand og vifte dampen mot nesen </w:t>
      </w:r>
      <w:r>
        <w:rPr>
          <w:sz w:val="22"/>
          <w:szCs w:val="22"/>
        </w:rPr>
        <w:t xml:space="preserve">med hånden. </w:t>
      </w:r>
    </w:p>
    <w:p w:rsidR="00BA5B38" w:rsidP="00BA5B38" w14:paraId="3139FEEE" w14:textId="7777777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Munnen skal aldri brukes ved pipettering. Bruk en sugeballong (Peleusballong e.l.) eller engangssprøyte. </w:t>
      </w:r>
    </w:p>
    <w:p w:rsidR="00BA5B38" w:rsidP="00BA5B38" w14:paraId="18F5D11F" w14:textId="77777777">
      <w:pPr>
        <w:pStyle w:val="Default"/>
        <w:rPr>
          <w:sz w:val="22"/>
          <w:szCs w:val="22"/>
        </w:rPr>
      </w:pPr>
    </w:p>
    <w:p w:rsidR="00C944E3" w:rsidP="00BA5B38" w14:paraId="296451E1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Gjennomgang av HMS-datablader og verneblader for kjemikalier. Forklare at </w:t>
      </w:r>
    </w:p>
    <w:p w:rsidR="00C944E3" w:rsidP="00BA5B38" w14:paraId="08A5E063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A5B38">
        <w:rPr>
          <w:sz w:val="22"/>
          <w:szCs w:val="22"/>
        </w:rPr>
        <w:t>elevene skal gjøre seg kjent med HMS-databladene og vernebladene for</w:t>
      </w:r>
    </w:p>
    <w:p w:rsidR="00C944E3" w:rsidP="00BA5B38" w14:paraId="5E9DD98E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A5B38">
        <w:rPr>
          <w:sz w:val="22"/>
          <w:szCs w:val="22"/>
        </w:rPr>
        <w:t xml:space="preserve"> kjemikaliene de skal bruke til hvert forsøk slik at de vet hvordan de skal </w:t>
      </w:r>
    </w:p>
    <w:p w:rsidR="00BA5B38" w:rsidP="00BA5B38" w14:paraId="68B00123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forholde seg til disse. </w:t>
      </w:r>
    </w:p>
    <w:p w:rsidR="00BA5B38" w:rsidP="00BA5B38" w14:paraId="432892C7" w14:textId="77777777">
      <w:pPr>
        <w:pStyle w:val="Default"/>
        <w:rPr>
          <w:sz w:val="22"/>
          <w:szCs w:val="22"/>
        </w:rPr>
      </w:pPr>
    </w:p>
    <w:p w:rsidR="00C944E3" w:rsidP="00BA5B38" w14:paraId="0693A7D3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Elevene skal ikke igangsette forsøk på egen hånd. Dersom de har ideer til </w:t>
      </w:r>
    </w:p>
    <w:p w:rsidR="00C944E3" w:rsidP="00BA5B38" w14:paraId="699A00B9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A5B38">
        <w:rPr>
          <w:sz w:val="22"/>
          <w:szCs w:val="22"/>
        </w:rPr>
        <w:t>endringer eller andre forsøk, må de snakke med læreren om det først. Ved</w:t>
      </w:r>
    </w:p>
    <w:p w:rsidR="00C944E3" w:rsidP="00BA5B38" w14:paraId="541AA674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A5B38">
        <w:rPr>
          <w:sz w:val="22"/>
          <w:szCs w:val="22"/>
        </w:rPr>
        <w:t xml:space="preserve"> åpne eksperimenter er det viktig å tenke sikkerhet under planleggingen.</w:t>
      </w:r>
    </w:p>
    <w:p w:rsidR="00BA5B38" w:rsidP="00BA5B38" w14:paraId="1D70838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Læreren skal godkjenne de prosedyrer, og de metoder elevene velger å bruke. </w:t>
      </w:r>
    </w:p>
    <w:p w:rsidR="00BA5B38" w:rsidP="00BA5B38" w14:paraId="0072FEFB" w14:textId="77777777">
      <w:pPr>
        <w:pStyle w:val="Default"/>
        <w:rPr>
          <w:sz w:val="22"/>
          <w:szCs w:val="22"/>
        </w:rPr>
      </w:pPr>
    </w:p>
    <w:p w:rsidR="00BA5B38" w:rsidP="00BA5B38" w14:paraId="56AC9F5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Gjennomgang av bruken av: </w:t>
      </w:r>
    </w:p>
    <w:p w:rsidR="00BA5B38" w:rsidP="00BA5B38" w14:paraId="376A1411" w14:textId="77777777">
      <w:pPr>
        <w:pStyle w:val="Default"/>
        <w:numPr>
          <w:ilvl w:val="0"/>
          <w:numId w:val="2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Brannslukningsapparater </w:t>
      </w:r>
    </w:p>
    <w:p w:rsidR="00BA5B38" w:rsidP="00BA5B38" w14:paraId="7B90A358" w14:textId="77777777">
      <w:pPr>
        <w:pStyle w:val="Default"/>
        <w:numPr>
          <w:ilvl w:val="0"/>
          <w:numId w:val="2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Brannslange </w:t>
      </w:r>
    </w:p>
    <w:p w:rsidR="00BA5B38" w:rsidP="00BA5B38" w14:paraId="76D758A2" w14:textId="77777777">
      <w:pPr>
        <w:pStyle w:val="Default"/>
        <w:numPr>
          <w:ilvl w:val="0"/>
          <w:numId w:val="2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>Brannt</w:t>
      </w:r>
      <w:r>
        <w:rPr>
          <w:sz w:val="22"/>
          <w:szCs w:val="22"/>
        </w:rPr>
        <w:t xml:space="preserve">eppe </w:t>
      </w:r>
    </w:p>
    <w:p w:rsidR="00BA5B38" w:rsidP="00BA5B38" w14:paraId="3E702DD2" w14:textId="77777777">
      <w:pPr>
        <w:pStyle w:val="Default"/>
        <w:numPr>
          <w:ilvl w:val="0"/>
          <w:numId w:val="2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Nøddusjen </w:t>
      </w:r>
    </w:p>
    <w:p w:rsidR="00BA5B38" w:rsidP="00BA5B38" w14:paraId="709AAB93" w14:textId="7777777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Kran for øyevask </w:t>
      </w:r>
    </w:p>
    <w:p w:rsidR="00BA5B38" w:rsidP="00BA5B38" w14:paraId="78B521E2" w14:textId="77777777">
      <w:pPr>
        <w:pStyle w:val="Default"/>
        <w:rPr>
          <w:sz w:val="22"/>
          <w:szCs w:val="22"/>
        </w:rPr>
      </w:pPr>
    </w:p>
    <w:p w:rsidR="00BA5B38" w:rsidP="00BA5B38" w14:paraId="57E1C220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Vise: </w:t>
      </w:r>
    </w:p>
    <w:p w:rsidR="00BA5B38" w:rsidP="00BA5B38" w14:paraId="0AE13C8A" w14:textId="7777777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Medisinskapet: plassering og innhold</w:t>
      </w:r>
    </w:p>
    <w:p w:rsidR="00BA5B38" w:rsidP="00BA5B38" w14:paraId="7DDC37B8" w14:textId="7777777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Rømningsveiene</w:t>
      </w:r>
    </w:p>
    <w:p w:rsidR="00710319" w14:paraId="045299E4" w14:textId="77777777">
      <w:pPr>
        <w:pStyle w:val="Header"/>
        <w:rPr>
          <w:rFonts w:ascii="Verdana" w:hAnsi="Verdana"/>
          <w:sz w:val="20"/>
        </w:rPr>
      </w:pPr>
    </w:p>
    <w:p w:rsidR="00C944E3" w:rsidP="00C944E3" w14:paraId="6FE65FAC" w14:textId="77777777">
      <w:pPr>
        <w:pStyle w:val="Default"/>
      </w:pPr>
    </w:p>
    <w:p w:rsidR="00C944E3" w:rsidP="00C944E3" w14:paraId="73F12AE3" w14:textId="77777777">
      <w:pPr>
        <w:pStyle w:val="Default"/>
      </w:pPr>
    </w:p>
    <w:p w:rsidR="00C944E3" w:rsidP="00C944E3" w14:paraId="06074BC4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Gjennomgå bruk av brennere: </w:t>
      </w:r>
    </w:p>
    <w:p w:rsidR="00C944E3" w:rsidP="00C944E3" w14:paraId="60F25712" w14:textId="77777777">
      <w:pPr>
        <w:pStyle w:val="Default"/>
        <w:numPr>
          <w:ilvl w:val="0"/>
          <w:numId w:val="4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Beholderen skal være festet eller oppstilt slik at den ikke kan velte. </w:t>
      </w:r>
    </w:p>
    <w:p w:rsidR="00C944E3" w:rsidP="00C944E3" w14:paraId="4C034892" w14:textId="77777777">
      <w:pPr>
        <w:pStyle w:val="Default"/>
        <w:numPr>
          <w:ilvl w:val="0"/>
          <w:numId w:val="4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Beholderen skal alltid stå oppreist. Flytt ikke brenneren fra arbeidsbordet når den er tent. </w:t>
      </w:r>
    </w:p>
    <w:p w:rsidR="00C944E3" w:rsidP="00C944E3" w14:paraId="3503EC9F" w14:textId="77777777">
      <w:pPr>
        <w:pStyle w:val="Default"/>
        <w:numPr>
          <w:ilvl w:val="0"/>
          <w:numId w:val="4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>Når brenneren skal tennes skal man holde en tent fyrstikk ved brenneren før ventilen (kran</w:t>
      </w:r>
      <w:r>
        <w:rPr>
          <w:sz w:val="22"/>
          <w:szCs w:val="22"/>
        </w:rPr>
        <w:t xml:space="preserve">en) åpnes. </w:t>
      </w:r>
    </w:p>
    <w:p w:rsidR="00C944E3" w:rsidP="00C944E3" w14:paraId="72995298" w14:textId="77777777">
      <w:pPr>
        <w:pStyle w:val="Default"/>
        <w:numPr>
          <w:ilvl w:val="0"/>
          <w:numId w:val="4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Om man merker gasslukt, må brenner kontrolleres og læreren varsles. Rommet må luftes og vi må finne lekkasjen før noen brennere blir tent. </w:t>
      </w:r>
    </w:p>
    <w:p w:rsidR="00C944E3" w:rsidP="00C944E3" w14:paraId="7F029251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Gassbeholderen må ikke utsettes for oppvarming fra for eksempel radiatorer, direkte sollys eller andre b</w:t>
      </w:r>
      <w:r>
        <w:rPr>
          <w:sz w:val="22"/>
          <w:szCs w:val="22"/>
        </w:rPr>
        <w:t xml:space="preserve">rennere. </w:t>
      </w:r>
    </w:p>
    <w:p w:rsidR="00C944E3" w:rsidP="00C944E3" w14:paraId="20B42C6E" w14:textId="77777777">
      <w:pPr>
        <w:pStyle w:val="Default"/>
        <w:rPr>
          <w:sz w:val="22"/>
          <w:szCs w:val="22"/>
        </w:rPr>
      </w:pPr>
    </w:p>
    <w:p w:rsidR="00C944E3" w:rsidP="00C944E3" w14:paraId="3B194D4E" w14:textId="77777777">
      <w:pPr>
        <w:pStyle w:val="Default"/>
        <w:rPr>
          <w:sz w:val="22"/>
          <w:szCs w:val="22"/>
        </w:rPr>
      </w:pPr>
    </w:p>
    <w:p w:rsidR="00C944E3" w:rsidP="00C944E3" w14:paraId="54B77EE7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Varsomhet ved håndtering av glassutstyr: </w:t>
      </w:r>
    </w:p>
    <w:p w:rsidR="00C944E3" w:rsidP="00C944E3" w14:paraId="1E8C4E65" w14:textId="77777777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Når elevene skal skyve et glassrør, en glasstav, et termometer e.l. inn i et hull i en propp, eller når de skal tre en gummislange over et glassrør, må enden av glassrøret først smøres med fett, glyserol e.l. Hold med et håndkle nær enden av glasset når de</w:t>
      </w:r>
      <w:r>
        <w:rPr>
          <w:sz w:val="22"/>
          <w:szCs w:val="22"/>
        </w:rPr>
        <w:t xml:space="preserve">tte skyves eller vris inn i hullet. </w:t>
      </w:r>
    </w:p>
    <w:p w:rsidR="00C944E3" w:rsidP="00C944E3" w14:paraId="07A83071" w14:textId="77777777">
      <w:pPr>
        <w:pStyle w:val="Default"/>
        <w:rPr>
          <w:sz w:val="22"/>
          <w:szCs w:val="22"/>
        </w:rPr>
      </w:pPr>
    </w:p>
    <w:p w:rsidR="00C944E3" w:rsidP="00C944E3" w14:paraId="5A5717EC" w14:textId="77777777">
      <w:pPr>
        <w:pStyle w:val="Default"/>
        <w:rPr>
          <w:sz w:val="22"/>
          <w:szCs w:val="22"/>
        </w:rPr>
      </w:pPr>
    </w:p>
    <w:p w:rsidR="00C944E3" w:rsidP="00C944E3" w14:paraId="5A3D8D67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Oppvarming og koking: </w:t>
      </w:r>
    </w:p>
    <w:p w:rsidR="00C944E3" w:rsidP="00C944E3" w14:paraId="06668C00" w14:textId="77777777">
      <w:pPr>
        <w:pStyle w:val="Default"/>
        <w:numPr>
          <w:ilvl w:val="0"/>
          <w:numId w:val="5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Når en væske varmes opp i et reagensglass, er det alltid fare for støtkoking. Røråpningen må vende bort fra alle personer i nærheten. Beveg glasset hele tiden for å få en jevn oppvarming av </w:t>
      </w:r>
      <w:r>
        <w:rPr>
          <w:sz w:val="22"/>
          <w:szCs w:val="22"/>
        </w:rPr>
        <w:t xml:space="preserve">væsken. Bruk alltid vernebriller ved slikt arbeid. </w:t>
      </w:r>
    </w:p>
    <w:p w:rsidR="00C944E3" w:rsidP="00C944E3" w14:paraId="27159ED6" w14:textId="77777777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Aldri tette til rør eller kolber som varmes opp. </w:t>
      </w:r>
    </w:p>
    <w:p w:rsidR="00C944E3" w:rsidP="00C944E3" w14:paraId="037B527C" w14:textId="77777777">
      <w:pPr>
        <w:pStyle w:val="Default"/>
        <w:rPr>
          <w:sz w:val="22"/>
          <w:szCs w:val="22"/>
        </w:rPr>
      </w:pPr>
    </w:p>
    <w:p w:rsidR="00C944E3" w:rsidP="00C944E3" w14:paraId="2D181140" w14:textId="77777777">
      <w:pPr>
        <w:pStyle w:val="Default"/>
        <w:rPr>
          <w:sz w:val="22"/>
          <w:szCs w:val="22"/>
        </w:rPr>
      </w:pPr>
    </w:p>
    <w:p w:rsidR="00C944E3" w:rsidP="00C944E3" w14:paraId="0F5A928E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Avfallshåndtering: </w:t>
      </w:r>
    </w:p>
    <w:p w:rsidR="00C944E3" w:rsidP="00C944E3" w14:paraId="20B4FDF2" w14:textId="77777777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>
        <w:rPr>
          <w:sz w:val="22"/>
          <w:szCs w:val="22"/>
        </w:rPr>
        <w:t xml:space="preserve">Knust glass skal kastes i glassavfall på kjemilaben. </w:t>
      </w:r>
    </w:p>
    <w:p w:rsidR="00C944E3" w:rsidP="00C944E3" w14:paraId="5A7EF4C5" w14:textId="77777777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>
        <w:rPr>
          <w:sz w:val="22"/>
          <w:szCs w:val="22"/>
        </w:rPr>
        <w:t>Som hovedregel skal kjemikalier kastes i egnede dunker på kjemilaben. Lære</w:t>
      </w:r>
      <w:r>
        <w:rPr>
          <w:sz w:val="22"/>
          <w:szCs w:val="22"/>
        </w:rPr>
        <w:t xml:space="preserve">r skal anvise og følge med på dette. Læreren skal ta hånd om rester av brennbare væsker og konsentrerte syrer og baser. </w:t>
      </w:r>
    </w:p>
    <w:p w:rsidR="00C944E3" w:rsidP="00C944E3" w14:paraId="53810AD3" w14:textId="77777777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Faste stoffer som løser seg lett i vann, kan kastes i vasken. Deretter spyles vasken godt med vann. Faste stoffer som er uløselige i vann, for eksempel jernpulver, kan kastes i den brannsikre avfallskassa. Små mengder med fortynnede løsninger av syrer, bas</w:t>
      </w:r>
      <w:r>
        <w:rPr>
          <w:sz w:val="22"/>
          <w:szCs w:val="22"/>
        </w:rPr>
        <w:t xml:space="preserve">er og salter kan også tømmes i vasken. Etterpå må vasken spyles godt med vann. </w:t>
      </w:r>
    </w:p>
    <w:p w:rsidR="00C944E3" w:rsidP="00C944E3" w14:paraId="188911A7" w14:textId="77777777">
      <w:pPr>
        <w:pStyle w:val="Default"/>
        <w:rPr>
          <w:sz w:val="22"/>
          <w:szCs w:val="22"/>
        </w:rPr>
      </w:pPr>
    </w:p>
    <w:p w:rsidR="00C944E3" w:rsidP="00C944E3" w14:paraId="5D76F4B4" w14:textId="77777777">
      <w:pPr>
        <w:pStyle w:val="Default"/>
        <w:rPr>
          <w:sz w:val="22"/>
          <w:szCs w:val="22"/>
        </w:rPr>
      </w:pPr>
    </w:p>
    <w:p w:rsidR="00C944E3" w:rsidP="00C944E3" w14:paraId="379690B5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13. Når øvelsen er utført skal det brukte utstyret vaskes eller settes i</w:t>
      </w:r>
    </w:p>
    <w:p w:rsidR="00C944E3" w:rsidP="00C944E3" w14:paraId="263A3823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oppvaskmaskin. Alt rent utstyr settes tilbake på plass. Arbeidsplassen ryddes </w:t>
      </w:r>
    </w:p>
    <w:p w:rsidR="00C944E3" w:rsidP="00C944E3" w14:paraId="22885C07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og tørkes,</w:t>
      </w:r>
      <w:r>
        <w:rPr>
          <w:sz w:val="22"/>
          <w:szCs w:val="22"/>
        </w:rPr>
        <w:t xml:space="preserve"> samt hendene vaskes godt. </w:t>
      </w:r>
    </w:p>
    <w:p w:rsidR="00C944E3" w14:paraId="643F2CB1" w14:textId="77777777">
      <w:pPr>
        <w:rPr>
          <w:rFonts w:ascii="Verdana" w:hAnsi="Verdana"/>
          <w:b/>
          <w:bCs/>
          <w:sz w:val="20"/>
        </w:rPr>
      </w:pPr>
    </w:p>
    <w:p w:rsidR="00C944E3" w14:paraId="66A26C53" w14:textId="77777777">
      <w:pPr>
        <w:rPr>
          <w:rFonts w:ascii="Verdana" w:hAnsi="Verdana"/>
          <w:b/>
          <w:bCs/>
          <w:sz w:val="20"/>
        </w:rPr>
      </w:pPr>
    </w:p>
    <w:p w:rsidR="00710319" w14:paraId="002286D2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 w14:paraId="7A3E0D4A" w14:textId="77777777">
      <w:pPr>
        <w:rPr>
          <w:rFonts w:ascii="Verdana" w:hAnsi="Verdana"/>
          <w:sz w:val="20"/>
        </w:rPr>
      </w:pPr>
      <w:bookmarkEnd w:id="1"/>
    </w:p>
    <w:p w:rsidR="00710319" w14:paraId="3990D422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 w14:paraId="4313D0DF" w14:textId="77777777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2"/>
    </w:p>
    <w:sectPr w:rsidSect="00AE3AF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 w14:paraId="54E69A64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 w14:paraId="686F405B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 w14:paraId="71E69DC0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761" w14:paraId="7A312D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4789541E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732ADD" w14:paraId="33A59E37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Sikkerhetskurs for bruk av laboratoriet på realfag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732ADD" w:rsidRPr="00554977" w14:paraId="73B36444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732ADD" w:rsidRPr="00554977" w:rsidP="00554977" w14:paraId="441A7F10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D04096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18AEB453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732ADD" w14:paraId="7A6CCB6D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732ADD" w14:paraId="3AC50E35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732ADD" w:rsidP="00554977" w14:paraId="34BED99A" w14:textId="53868C19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 w14:paraId="0148A3A8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761" w14:paraId="5506E7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F0C22"/>
    <w:multiLevelType w:val="hybridMultilevel"/>
    <w:tmpl w:val="9E661DEA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E2A0A0E"/>
    <w:multiLevelType w:val="hybridMultilevel"/>
    <w:tmpl w:val="B2D8A340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E342609"/>
    <w:multiLevelType w:val="hybridMultilevel"/>
    <w:tmpl w:val="FED60950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5195193C"/>
    <w:multiLevelType w:val="hybridMultilevel"/>
    <w:tmpl w:val="38601356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6ECC65D0"/>
    <w:multiLevelType w:val="hybridMultilevel"/>
    <w:tmpl w:val="292251AA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7862216D"/>
    <w:multiLevelType w:val="hybridMultilevel"/>
    <w:tmpl w:val="BEECD902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F1"/>
    <w:rsid w:val="000D67F1"/>
    <w:rsid w:val="000F4175"/>
    <w:rsid w:val="00174EEE"/>
    <w:rsid w:val="00197347"/>
    <w:rsid w:val="00336F21"/>
    <w:rsid w:val="00376636"/>
    <w:rsid w:val="003E1AD5"/>
    <w:rsid w:val="0041042A"/>
    <w:rsid w:val="00554977"/>
    <w:rsid w:val="005559E3"/>
    <w:rsid w:val="00577C23"/>
    <w:rsid w:val="00585018"/>
    <w:rsid w:val="005B6269"/>
    <w:rsid w:val="006B204C"/>
    <w:rsid w:val="00710319"/>
    <w:rsid w:val="00732ADD"/>
    <w:rsid w:val="007E3F6D"/>
    <w:rsid w:val="00840B9D"/>
    <w:rsid w:val="00877347"/>
    <w:rsid w:val="008C53D1"/>
    <w:rsid w:val="008D7F78"/>
    <w:rsid w:val="00923916"/>
    <w:rsid w:val="00923BEC"/>
    <w:rsid w:val="00930835"/>
    <w:rsid w:val="009363CC"/>
    <w:rsid w:val="0096543A"/>
    <w:rsid w:val="00A30C8D"/>
    <w:rsid w:val="00AB5E7A"/>
    <w:rsid w:val="00AC0254"/>
    <w:rsid w:val="00AD59EB"/>
    <w:rsid w:val="00AE3AFB"/>
    <w:rsid w:val="00B04761"/>
    <w:rsid w:val="00B21472"/>
    <w:rsid w:val="00BA5B38"/>
    <w:rsid w:val="00BC659C"/>
    <w:rsid w:val="00BF55ED"/>
    <w:rsid w:val="00C944E3"/>
    <w:rsid w:val="00D6508D"/>
    <w:rsid w:val="00E27D1D"/>
    <w:rsid w:val="00E772E7"/>
    <w:rsid w:val="00F44DA0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tine Mette Ersvik"/>
    <w:docVar w:name="ek_dbfields" w:val="EK_Avdeling¤2#4¤2# ¤3#EK_Avsnitt¤2#4¤2# ¤3#EK_Bedriftsnavn¤2#1¤2#Nordland fylkeskommune¤3#EK_GjelderFra¤2#0¤2# ¤3#EK_KlGjelderFra¤2#0¤2# ¤3#EK_Opprettet¤2#0¤2#25.06.2013¤3#EK_Utgitt¤2#0¤2#28.06.2013¤3#EK_IBrukDato¤2#0¤2#05.08.2020¤3#EK_DokumentID¤2#0¤2#D04096¤3#EK_DokTittel¤2#0¤2#Sikkerhetskurs for bruk av laboratoriet på realfag¤3#EK_DokType¤2#0¤2#Generelt¤3#EK_DocLvlShort¤2#0¤2# ¤3#EK_DocLevel¤2#0¤2# ¤3#EK_EksRef¤2#2¤2# 0_x0009_¤3#EK_Erstatter¤2#0¤2#3.01¤3#EK_ErstatterD¤2#0¤2#05.08.2020¤3#EK_Signatur¤2#0¤2#¤3#EK_Verifisert¤2#0¤2#¤3#EK_Hørt¤2#0¤2#¤3#EK_AuditReview¤2#2¤2#¤3#EK_AuditApprove¤2#2¤2#¤3#EK_Gradering¤2#0¤2#Åpen¤3#EK_Gradnr¤2#4¤2#0¤3#EK_Kapittel¤2#4¤2# ¤3#EK_Referanse¤2#2¤2# 0_x0009_¤3#EK_RefNr¤2#0¤2#.Saltd.3.7.1¤3#EK_Revisjon¤2#0¤2#4.00¤3#EK_Ansvarlig¤2#0¤2#Stine Mette Ersvik¤3#EK_SkrevetAv¤2#0¤2#Stine Mette Ersvik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4.00¤3#EK_Merknad¤2#7¤2#¤3#EK_VerLogg¤2#2¤2#Ver. 4.00 - 05.08.2020|¤1#Ver. 3.01 - 05.08.2020|Forlenget gyldighet til 05.08.2022 uten endringer i dokumentet.¤1#Ver. 3.00 - 29.09.2017|¤1#Ver. 2.00 - 08.04.2015|¤1#Ver. 1.00 - 28.06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7180307¤3#EK_Dokendrdato¤2#4¤2#02.07.2021 13:27:46¤3#EK_HbType¤2#4¤2# ¤3#EK_Offisiell¤2#4¤2# ¤3#EK_VedleggRef¤2#4¤2#.Saltd.3.7.1¤3#EK_Strukt00¤2#5¤2#¤5#¤5#Kapittelstrukturen¤5#0¤5#0¤4#¤5#¤5#Utdanning og kompetanse¤5#2¤5#0¤4#.¤5#Saltd¤5#Saltdal videregående skole¤5#2¤5#0¤4#.¤5#3¤5#Avdelinger/studieprogram - Saltdal vgs.¤5#0¤5#0¤4#.¤5#7¤5#ST. Stud.spes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Saltd¤5#Saltdal videregående skole¤5#2¤5#0¤4#.¤5#3¤5#Avdelinger/studieprogram - Saltdal vgs.¤5#0¤5#0¤4#.¤5#7¤5#ST. Stud.spes¤5#0¤5#0¤4#§¤3#"/>
    <w:docVar w:name="ek_dl" w:val="1"/>
    <w:docVar w:name="ek_doclevel" w:val=" "/>
    <w:docVar w:name="ek_doclvlshort" w:val=" "/>
    <w:docVar w:name="ek_dokansvnavn" w:val="KS - gruppen"/>
    <w:docVar w:name="ek_doktittel" w:val="Sikkerhetskurs for bruk av laboratoriet på realfag"/>
    <w:docVar w:name="ek_doktype" w:val="Generelt"/>
    <w:docVar w:name="ek_dokumentid" w:val="D04096"/>
    <w:docVar w:name="ek_erstatter" w:val="3.01"/>
    <w:docVar w:name="ek_erstatterd" w:val="05.08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5.08.2020"/>
    <w:docVar w:name="ek_klgjelderfra" w:val=" "/>
    <w:docVar w:name="ek_merknad" w:val="[]"/>
    <w:docVar w:name="ek_opprettet" w:val="25.06.2013"/>
    <w:docVar w:name="ek_rapport" w:val="[]"/>
    <w:docVar w:name="ek_refnr" w:val=".Saltd.3.7.1"/>
    <w:docVar w:name="ek_revisjon" w:val="4.00"/>
    <w:docVar w:name="ek_signatur" w:val="[]"/>
    <w:docVar w:name="ek_skrevetav" w:val="Stine Mette Ersvik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4.00"/>
    <w:docVar w:name="ek_utgitt" w:val="28.06.2013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9BA6CD1-712F-4EAE-940A-96CDF93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3E1AD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E1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B3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tiers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626</Words>
  <Characters>3296</Characters>
  <Application>Microsoft Office Word</Application>
  <DocSecurity>0</DocSecurity>
  <Lines>127</Lines>
  <Paragraphs>61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Sikkerhetskurs for bruk av laboratoriet på realfag</vt:lpstr>
      <vt:lpstr>Standard</vt:lpstr>
    </vt:vector>
  </TitlesOfParts>
  <Company>Datakvalitet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Sikkerhetskurs for bruk av laboratoriet på realfag</dc:title>
  <dc:subject>000107180307|.Saltd.3.7.1|</dc:subject>
  <dc:creator>Handbok</dc:creator>
  <cp:lastModifiedBy>Stine Mette Ersvik</cp:lastModifiedBy>
  <cp:revision>2</cp:revision>
  <cp:lastPrinted>2013-06-25T08:41:00Z</cp:lastPrinted>
  <dcterms:created xsi:type="dcterms:W3CDTF">2021-07-02T11:28:00Z</dcterms:created>
  <dcterms:modified xsi:type="dcterms:W3CDTF">2021-07-02T11:28:00Z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Sikkerhetskurs for bruk av laboratoriet på realfag</vt:lpwstr>
  </property>
  <property fmtid="{D5CDD505-2E9C-101B-9397-08002B2CF9AE}" pid="4" name="EK_DokumentID">
    <vt:lpwstr>D04096</vt:lpwstr>
  </property>
  <property fmtid="{D5CDD505-2E9C-101B-9397-08002B2CF9AE}" pid="5" name="EK_GjelderFra">
    <vt:lpwstr>06.09.2023</vt:lpwstr>
  </property>
  <property fmtid="{D5CDD505-2E9C-101B-9397-08002B2CF9AE}" pid="6" name="EK_Signatur">
    <vt:lpwstr>Elisabeth Kristoffersen</vt:lpwstr>
  </property>
  <property fmtid="{D5CDD505-2E9C-101B-9397-08002B2CF9AE}" pid="7" name="EK_SkrevetAv">
    <vt:lpwstr>Stine Mette Ersvik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